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EB6" w:rsidRDefault="00AD0A97">
      <w:pPr>
        <w:autoSpaceDE w:val="0"/>
        <w:autoSpaceDN w:val="0"/>
        <w:adjustRightInd w:val="0"/>
        <w:spacing w:line="560" w:lineRule="exact"/>
        <w:jc w:val="center"/>
        <w:outlineLvl w:val="0"/>
        <w:rPr>
          <w:rFonts w:ascii="Times New Roman" w:eastAsia="方正小标宋简体" w:hAnsi="Times New Roman" w:cs="Times New Roman"/>
          <w:kern w:val="0"/>
          <w:sz w:val="44"/>
          <w:szCs w:val="44"/>
        </w:rPr>
      </w:pPr>
      <w:r>
        <w:rPr>
          <w:rFonts w:ascii="Times New Roman" w:eastAsia="方正小标宋简体" w:hAnsi="Times New Roman" w:cs="Times New Roman" w:hint="eastAsia"/>
          <w:kern w:val="0"/>
          <w:sz w:val="44"/>
          <w:szCs w:val="44"/>
        </w:rPr>
        <w:t>马鞍山市兴博产业投资</w:t>
      </w:r>
      <w:r>
        <w:rPr>
          <w:rFonts w:ascii="Times New Roman" w:eastAsia="方正小标宋简体" w:hAnsi="Times New Roman" w:cs="Times New Roman"/>
          <w:kern w:val="0"/>
          <w:sz w:val="44"/>
          <w:szCs w:val="44"/>
        </w:rPr>
        <w:t>有限公司</w:t>
      </w:r>
    </w:p>
    <w:p w:rsidR="00900EB6" w:rsidRDefault="00AD0A97">
      <w:pPr>
        <w:autoSpaceDE w:val="0"/>
        <w:autoSpaceDN w:val="0"/>
        <w:adjustRightInd w:val="0"/>
        <w:spacing w:line="560" w:lineRule="exact"/>
        <w:jc w:val="center"/>
        <w:outlineLvl w:val="0"/>
        <w:rPr>
          <w:rFonts w:ascii="Times New Roman" w:eastAsia="方正小标宋简体" w:hAnsi="Times New Roman" w:cs="Times New Roman"/>
          <w:kern w:val="0"/>
          <w:sz w:val="44"/>
          <w:szCs w:val="44"/>
        </w:rPr>
      </w:pPr>
      <w:r>
        <w:rPr>
          <w:rFonts w:ascii="Times New Roman" w:eastAsia="方正小标宋简体" w:hAnsi="Times New Roman" w:cs="Times New Roman" w:hint="eastAsia"/>
          <w:kern w:val="0"/>
          <w:sz w:val="44"/>
          <w:szCs w:val="44"/>
        </w:rPr>
        <w:t>马鞍山智造新动能</w:t>
      </w:r>
      <w:r>
        <w:rPr>
          <w:rFonts w:ascii="Times New Roman" w:eastAsia="方正小标宋简体" w:hAnsi="Times New Roman" w:cs="Times New Roman"/>
          <w:kern w:val="0"/>
          <w:sz w:val="44"/>
          <w:szCs w:val="44"/>
        </w:rPr>
        <w:t>产业基金管理人比选方案</w:t>
      </w:r>
    </w:p>
    <w:p w:rsidR="00900EB6" w:rsidRDefault="00900EB6">
      <w:pPr>
        <w:pStyle w:val="a8"/>
        <w:shd w:val="clear" w:color="auto" w:fill="FFFFFF"/>
        <w:spacing w:before="0" w:beforeAutospacing="0" w:after="0" w:afterAutospacing="0" w:line="560" w:lineRule="exact"/>
        <w:ind w:firstLineChars="200" w:firstLine="643"/>
        <w:jc w:val="both"/>
        <w:rPr>
          <w:rFonts w:ascii="Times New Roman" w:eastAsia="黑体" w:hAnsi="Times New Roman" w:cs="Times New Roman"/>
          <w:b/>
          <w:bCs/>
          <w:sz w:val="32"/>
          <w:szCs w:val="32"/>
        </w:rPr>
      </w:pPr>
    </w:p>
    <w:p w:rsidR="00900EB6" w:rsidRDefault="00AD0A97">
      <w:pPr>
        <w:pStyle w:val="a8"/>
        <w:numPr>
          <w:ilvl w:val="0"/>
          <w:numId w:val="1"/>
        </w:numPr>
        <w:shd w:val="clear" w:color="auto" w:fill="FFFFFF"/>
        <w:spacing w:before="0" w:beforeAutospacing="0" w:after="0" w:afterAutospacing="0" w:line="560" w:lineRule="exact"/>
        <w:ind w:firstLineChars="200" w:firstLine="640"/>
        <w:jc w:val="both"/>
        <w:outlineLvl w:val="0"/>
        <w:rPr>
          <w:rFonts w:ascii="Times New Roman" w:eastAsia="黑体" w:hAnsi="Times New Roman" w:cs="Times New Roman"/>
          <w:bCs/>
          <w:sz w:val="32"/>
          <w:szCs w:val="32"/>
        </w:rPr>
      </w:pPr>
      <w:r>
        <w:rPr>
          <w:rFonts w:ascii="Times New Roman" w:eastAsia="黑体" w:hAnsi="Times New Roman" w:cs="Times New Roman"/>
          <w:bCs/>
          <w:sz w:val="32"/>
          <w:szCs w:val="32"/>
        </w:rPr>
        <w:t>设立计划</w:t>
      </w:r>
    </w:p>
    <w:p w:rsidR="00900EB6" w:rsidRDefault="00AD0A97">
      <w:pPr>
        <w:pStyle w:val="a8"/>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为推动产业转型升级和中小企业快速发展及引导社会资本投资经济社会发展的重点领域，促进</w:t>
      </w:r>
      <w:r>
        <w:rPr>
          <w:rFonts w:ascii="Times New Roman" w:eastAsia="仿宋_GB2312" w:hAnsi="Times New Roman" w:cs="Times New Roman" w:hint="eastAsia"/>
          <w:sz w:val="32"/>
          <w:szCs w:val="32"/>
        </w:rPr>
        <w:t>马鞍山市博望</w:t>
      </w:r>
      <w:r>
        <w:rPr>
          <w:rFonts w:ascii="Times New Roman" w:eastAsia="仿宋_GB2312" w:hAnsi="Times New Roman" w:cs="Times New Roman"/>
          <w:sz w:val="32"/>
          <w:szCs w:val="32"/>
        </w:rPr>
        <w:t>区</w:t>
      </w:r>
      <w:r>
        <w:rPr>
          <w:rFonts w:eastAsia="仿宋_GB2312"/>
          <w:color w:val="000000"/>
          <w:sz w:val="32"/>
          <w:szCs w:val="32"/>
        </w:rPr>
        <w:t>智能制造、新材料、新能源等新兴产业</w:t>
      </w:r>
      <w:r>
        <w:rPr>
          <w:rFonts w:ascii="Times New Roman" w:eastAsia="仿宋_GB2312" w:hAnsi="Times New Roman" w:cs="Times New Roman"/>
          <w:sz w:val="32"/>
          <w:szCs w:val="32"/>
        </w:rPr>
        <w:t>培育。经研究决定，</w:t>
      </w:r>
      <w:r w:rsidR="00E92918" w:rsidRPr="00E92918">
        <w:rPr>
          <w:rFonts w:ascii="Times New Roman" w:eastAsia="仿宋_GB2312" w:hAnsi="Times New Roman" w:cs="Times New Roman" w:hint="eastAsia"/>
          <w:sz w:val="32"/>
          <w:szCs w:val="32"/>
        </w:rPr>
        <w:t>马鞍山市兴博产业投资有限公司</w:t>
      </w:r>
      <w:r w:rsidR="00E92918">
        <w:rPr>
          <w:rFonts w:ascii="Times New Roman" w:eastAsia="仿宋_GB2312" w:hAnsi="Times New Roman" w:cs="Times New Roman" w:hint="eastAsia"/>
          <w:sz w:val="32"/>
          <w:szCs w:val="32"/>
        </w:rPr>
        <w:t>（以下简称“</w:t>
      </w:r>
      <w:bookmarkStart w:id="0" w:name="_Hlk95727493"/>
      <w:r w:rsidR="00E92918">
        <w:rPr>
          <w:rFonts w:ascii="Times New Roman" w:eastAsia="仿宋_GB2312" w:hAnsi="Times New Roman" w:cs="Times New Roman" w:hint="eastAsia"/>
          <w:sz w:val="32"/>
          <w:szCs w:val="32"/>
        </w:rPr>
        <w:t>兴博投资公司</w:t>
      </w:r>
      <w:bookmarkEnd w:id="0"/>
      <w:r w:rsidR="00E92918">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设立</w:t>
      </w:r>
      <w:r>
        <w:rPr>
          <w:rFonts w:ascii="Times New Roman" w:eastAsia="仿宋_GB2312" w:hAnsi="Times New Roman" w:cs="Times New Roman" w:hint="eastAsia"/>
          <w:sz w:val="32"/>
          <w:szCs w:val="32"/>
        </w:rPr>
        <w:t>马鞍山智造新动能</w:t>
      </w:r>
      <w:r>
        <w:rPr>
          <w:rFonts w:ascii="Times New Roman" w:eastAsia="仿宋_GB2312" w:hAnsi="Times New Roman" w:cs="Times New Roman"/>
          <w:sz w:val="32"/>
          <w:szCs w:val="32"/>
        </w:rPr>
        <w:t>产业基金，支持相关产业和领域发展。为提高基金管理水平，现向社会公开征集基金管理机构，负责基金的设立、募集、投资、管理和退出工作。</w:t>
      </w:r>
    </w:p>
    <w:p w:rsidR="00900EB6" w:rsidRDefault="00AD0A97">
      <w:pPr>
        <w:pStyle w:val="a8"/>
        <w:numPr>
          <w:ilvl w:val="0"/>
          <w:numId w:val="1"/>
        </w:numPr>
        <w:shd w:val="clear" w:color="auto" w:fill="FFFFFF"/>
        <w:spacing w:before="0" w:beforeAutospacing="0" w:after="0" w:afterAutospacing="0" w:line="560" w:lineRule="exact"/>
        <w:ind w:firstLineChars="200" w:firstLine="640"/>
        <w:jc w:val="both"/>
        <w:outlineLvl w:val="0"/>
        <w:rPr>
          <w:rFonts w:ascii="Times New Roman" w:eastAsia="黑体" w:hAnsi="Times New Roman" w:cs="Times New Roman"/>
          <w:bCs/>
          <w:sz w:val="32"/>
          <w:szCs w:val="32"/>
        </w:rPr>
      </w:pPr>
      <w:r>
        <w:rPr>
          <w:rFonts w:ascii="Times New Roman" w:eastAsia="黑体" w:hAnsi="Times New Roman" w:cs="Times New Roman"/>
          <w:bCs/>
          <w:sz w:val="32"/>
          <w:szCs w:val="32"/>
        </w:rPr>
        <w:t>基金要素</w:t>
      </w:r>
    </w:p>
    <w:p w:rsidR="00900EB6" w:rsidRDefault="00AD0A97">
      <w:pPr>
        <w:pStyle w:val="a8"/>
        <w:shd w:val="clear" w:color="auto" w:fill="FFFFFF"/>
        <w:spacing w:before="0" w:beforeAutospacing="0" w:after="0" w:afterAutospacing="0" w:line="560" w:lineRule="exact"/>
        <w:ind w:firstLineChars="200" w:firstLine="643"/>
        <w:jc w:val="both"/>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（一）基金组织形式及注册地</w:t>
      </w:r>
    </w:p>
    <w:p w:rsidR="00900EB6" w:rsidRDefault="00AD0A97">
      <w:pPr>
        <w:pStyle w:val="a8"/>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基金采用合伙制，为有限合伙企业。注册地为</w:t>
      </w:r>
      <w:r w:rsidR="00264696" w:rsidRPr="00264696">
        <w:rPr>
          <w:rFonts w:ascii="仿宋_GB2312" w:eastAsia="仿宋_GB2312" w:hint="eastAsia"/>
          <w:sz w:val="32"/>
          <w:szCs w:val="32"/>
        </w:rPr>
        <w:t>马鞍山市宁马省际毗邻地区新型功能区</w:t>
      </w:r>
      <w:r>
        <w:rPr>
          <w:rFonts w:ascii="Times New Roman" w:eastAsia="仿宋_GB2312" w:hAnsi="Times New Roman" w:cs="Times New Roman"/>
          <w:sz w:val="32"/>
          <w:szCs w:val="32"/>
        </w:rPr>
        <w:t>。</w:t>
      </w:r>
    </w:p>
    <w:p w:rsidR="00900EB6" w:rsidRDefault="00AD0A97">
      <w:pPr>
        <w:pStyle w:val="a8"/>
        <w:shd w:val="clear" w:color="auto" w:fill="FFFFFF"/>
        <w:spacing w:before="0" w:beforeAutospacing="0" w:after="0" w:afterAutospacing="0" w:line="560" w:lineRule="exact"/>
        <w:ind w:firstLineChars="200" w:firstLine="643"/>
        <w:jc w:val="both"/>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（二）基金规模</w:t>
      </w:r>
    </w:p>
    <w:p w:rsidR="00900EB6" w:rsidRDefault="00AD0A97">
      <w:pPr>
        <w:pStyle w:val="a8"/>
        <w:shd w:val="clear" w:color="auto" w:fill="FFFFFF"/>
        <w:spacing w:before="0" w:beforeAutospacing="0" w:after="0" w:afterAutospacing="0" w:line="560" w:lineRule="exact"/>
        <w:ind w:firstLineChars="200" w:firstLine="640"/>
        <w:jc w:val="both"/>
        <w:rPr>
          <w:rFonts w:ascii="仿宋_GB2312" w:eastAsia="仿宋_GB2312" w:hAnsi="仿宋_GB2312" w:cs="仿宋_GB2312"/>
          <w:spacing w:val="8"/>
          <w:sz w:val="32"/>
          <w:szCs w:val="32"/>
          <w:shd w:val="clear" w:color="auto" w:fill="FFFFFF"/>
        </w:rPr>
      </w:pPr>
      <w:r>
        <w:rPr>
          <w:rFonts w:ascii="Times New Roman" w:eastAsia="仿宋_GB2312" w:hAnsi="Times New Roman" w:cs="Times New Roman"/>
          <w:sz w:val="32"/>
          <w:szCs w:val="32"/>
        </w:rPr>
        <w:t>基金总规模</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亿元，</w:t>
      </w:r>
      <w:r w:rsidR="00385C35" w:rsidRPr="00385C35">
        <w:rPr>
          <w:rFonts w:ascii="仿宋_GB2312" w:eastAsia="仿宋_GB2312" w:hAnsi="仿宋" w:cs="仿宋" w:hint="eastAsia"/>
          <w:color w:val="000000"/>
          <w:sz w:val="32"/>
          <w:szCs w:val="32"/>
        </w:rPr>
        <w:t>兴博投资公司</w:t>
      </w:r>
      <w:r>
        <w:rPr>
          <w:rFonts w:ascii="仿宋_GB2312" w:eastAsia="仿宋_GB2312" w:hAnsi="仿宋" w:cs="仿宋" w:hint="eastAsia"/>
          <w:color w:val="000000"/>
          <w:sz w:val="32"/>
          <w:szCs w:val="32"/>
        </w:rPr>
        <w:t>出资不超过基金规模的30%</w:t>
      </w:r>
      <w:r w:rsidR="00AB2742">
        <w:rPr>
          <w:rFonts w:ascii="仿宋_GB2312" w:eastAsia="仿宋_GB2312" w:hAnsi="仿宋" w:cs="仿宋" w:hint="eastAsia"/>
          <w:color w:val="000000"/>
          <w:sz w:val="32"/>
          <w:szCs w:val="32"/>
        </w:rPr>
        <w:t>，拟通过基金管理人募集资金不超过基金规模的7</w:t>
      </w:r>
      <w:r w:rsidR="00AB2742">
        <w:rPr>
          <w:rFonts w:ascii="仿宋_GB2312" w:eastAsia="仿宋_GB2312" w:hAnsi="仿宋" w:cs="仿宋"/>
          <w:color w:val="000000"/>
          <w:sz w:val="32"/>
          <w:szCs w:val="32"/>
        </w:rPr>
        <w:t>0%</w:t>
      </w:r>
      <w:r w:rsidR="00AB2742">
        <w:rPr>
          <w:rFonts w:ascii="仿宋_GB2312" w:eastAsia="仿宋_GB2312" w:hAnsi="仿宋" w:cs="仿宋" w:hint="eastAsia"/>
          <w:color w:val="000000"/>
          <w:sz w:val="32"/>
          <w:szCs w:val="32"/>
        </w:rPr>
        <w:t>；</w:t>
      </w:r>
      <w:r w:rsidR="00385C35">
        <w:rPr>
          <w:rFonts w:ascii="Times New Roman" w:eastAsia="仿宋_GB2312" w:hAnsi="Times New Roman" w:cs="Times New Roman"/>
          <w:sz w:val="32"/>
          <w:szCs w:val="32"/>
        </w:rPr>
        <w:t>首期</w:t>
      </w:r>
      <w:r w:rsidR="00385C35">
        <w:rPr>
          <w:rFonts w:ascii="Times New Roman" w:eastAsia="仿宋_GB2312" w:hAnsi="Times New Roman" w:cs="Times New Roman" w:hint="eastAsia"/>
          <w:sz w:val="32"/>
          <w:szCs w:val="32"/>
        </w:rPr>
        <w:t>基金</w:t>
      </w:r>
      <w:r w:rsidR="00385C35">
        <w:rPr>
          <w:rFonts w:ascii="Times New Roman" w:eastAsia="仿宋_GB2312" w:hAnsi="Times New Roman" w:cs="Times New Roman"/>
          <w:sz w:val="32"/>
          <w:szCs w:val="32"/>
        </w:rPr>
        <w:t>规模</w:t>
      </w:r>
      <w:r w:rsidR="00385C35">
        <w:rPr>
          <w:rFonts w:ascii="Times New Roman" w:eastAsia="仿宋_GB2312" w:hAnsi="Times New Roman" w:cs="Times New Roman" w:hint="eastAsia"/>
          <w:sz w:val="32"/>
          <w:szCs w:val="32"/>
        </w:rPr>
        <w:t>3</w:t>
      </w:r>
      <w:r w:rsidR="00385C35">
        <w:rPr>
          <w:rFonts w:ascii="Times New Roman" w:eastAsia="仿宋_GB2312" w:hAnsi="Times New Roman" w:cs="Times New Roman" w:hint="eastAsia"/>
          <w:sz w:val="32"/>
          <w:szCs w:val="32"/>
        </w:rPr>
        <w:t>亿</w:t>
      </w:r>
      <w:r w:rsidR="00385C35">
        <w:rPr>
          <w:rFonts w:ascii="Times New Roman" w:eastAsia="仿宋_GB2312" w:hAnsi="Times New Roman" w:cs="Times New Roman"/>
          <w:sz w:val="32"/>
          <w:szCs w:val="32"/>
        </w:rPr>
        <w:t>元</w:t>
      </w:r>
      <w:r w:rsidR="00385C35">
        <w:rPr>
          <w:rFonts w:ascii="Times New Roman" w:eastAsia="仿宋_GB2312" w:hAnsi="Times New Roman" w:cs="Times New Roman" w:hint="eastAsia"/>
          <w:sz w:val="32"/>
          <w:szCs w:val="32"/>
        </w:rPr>
        <w:t>。</w:t>
      </w:r>
    </w:p>
    <w:p w:rsidR="00900EB6" w:rsidRDefault="00AD0A97">
      <w:pPr>
        <w:pStyle w:val="a8"/>
        <w:shd w:val="clear" w:color="auto" w:fill="FFFFFF"/>
        <w:spacing w:before="0" w:beforeAutospacing="0" w:after="0" w:afterAutospacing="0" w:line="560" w:lineRule="exact"/>
        <w:ind w:firstLineChars="200" w:firstLine="643"/>
        <w:jc w:val="both"/>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sidR="008A04CE">
        <w:rPr>
          <w:rFonts w:ascii="楷体_GB2312" w:eastAsia="楷体_GB2312" w:hAnsi="楷体_GB2312" w:cs="楷体_GB2312" w:hint="eastAsia"/>
          <w:b/>
          <w:bCs/>
          <w:sz w:val="32"/>
          <w:szCs w:val="32"/>
        </w:rPr>
        <w:t>三</w:t>
      </w:r>
      <w:r>
        <w:rPr>
          <w:rFonts w:ascii="楷体_GB2312" w:eastAsia="楷体_GB2312" w:hAnsi="楷体_GB2312" w:cs="楷体_GB2312" w:hint="eastAsia"/>
          <w:b/>
          <w:bCs/>
          <w:sz w:val="32"/>
          <w:szCs w:val="32"/>
        </w:rPr>
        <w:t>）基金存续期</w:t>
      </w:r>
    </w:p>
    <w:p w:rsidR="00327E07" w:rsidRDefault="00AD0A97">
      <w:pPr>
        <w:shd w:val="clear" w:color="auto" w:fill="FFFFFF"/>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基金存续期拟定为</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年投资期和</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年退出期）。</w:t>
      </w:r>
      <w:r>
        <w:rPr>
          <w:rFonts w:ascii="Times New Roman" w:eastAsia="仿宋_GB2312" w:hAnsi="Times New Roman" w:cs="Times New Roman"/>
          <w:color w:val="000000" w:themeColor="text1"/>
          <w:sz w:val="32"/>
          <w:szCs w:val="32"/>
        </w:rPr>
        <w:t>基金存续期可根据项目情况适当延期，经全体合伙人同意，基金可以延长两次，每次</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年。</w:t>
      </w:r>
    </w:p>
    <w:p w:rsidR="00900EB6" w:rsidRDefault="00AD0A97">
      <w:pPr>
        <w:pStyle w:val="a8"/>
        <w:shd w:val="clear" w:color="auto" w:fill="FFFFFF"/>
        <w:spacing w:before="0" w:beforeAutospacing="0" w:after="0" w:afterAutospacing="0" w:line="560" w:lineRule="exact"/>
        <w:ind w:firstLine="630"/>
        <w:jc w:val="both"/>
        <w:outlineLvl w:val="1"/>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w:t>
      </w:r>
      <w:r w:rsidR="008A04CE">
        <w:rPr>
          <w:rFonts w:ascii="楷体_GB2312" w:eastAsia="楷体_GB2312" w:hAnsi="Times New Roman" w:cs="Times New Roman" w:hint="eastAsia"/>
          <w:b/>
          <w:sz w:val="32"/>
          <w:szCs w:val="32"/>
        </w:rPr>
        <w:t>四</w:t>
      </w:r>
      <w:r>
        <w:rPr>
          <w:rFonts w:ascii="楷体_GB2312" w:eastAsia="楷体_GB2312" w:hAnsi="Times New Roman" w:cs="Times New Roman" w:hint="eastAsia"/>
          <w:b/>
          <w:sz w:val="32"/>
          <w:szCs w:val="32"/>
        </w:rPr>
        <w:t>）基金管理费（含执行事务报酬）</w:t>
      </w:r>
    </w:p>
    <w:p w:rsidR="00900EB6" w:rsidRDefault="00AD0A97">
      <w:pPr>
        <w:pStyle w:val="a8"/>
        <w:shd w:val="clear" w:color="auto" w:fill="FFFFFF"/>
        <w:spacing w:before="0" w:beforeAutospacing="0" w:after="0" w:afterAutospacing="0" w:line="560" w:lineRule="exact"/>
        <w:ind w:firstLine="630"/>
        <w:jc w:val="both"/>
        <w:rPr>
          <w:rFonts w:ascii="楷体_GB2312" w:eastAsia="楷体_GB2312" w:hAnsi="Times New Roman" w:cs="Times New Roman"/>
          <w:b/>
          <w:sz w:val="32"/>
          <w:szCs w:val="32"/>
        </w:rPr>
      </w:pPr>
      <w:r>
        <w:rPr>
          <w:rFonts w:ascii="仿宋_GB2312" w:eastAsia="仿宋_GB2312" w:hAnsi="仿宋_GB2312" w:cs="仿宋_GB2312" w:hint="eastAsia"/>
          <w:bCs/>
          <w:sz w:val="32"/>
          <w:szCs w:val="32"/>
        </w:rPr>
        <w:lastRenderedPageBreak/>
        <w:t>按基金实缴出资的1.5%收取，退出期按照1%收取，延长期不收取管理费（含执行事务报酬）。</w:t>
      </w:r>
    </w:p>
    <w:p w:rsidR="00900EB6" w:rsidRDefault="00AD0A97">
      <w:pPr>
        <w:pStyle w:val="a8"/>
        <w:shd w:val="clear" w:color="auto" w:fill="FFFFFF"/>
        <w:spacing w:before="0" w:beforeAutospacing="0" w:after="0" w:afterAutospacing="0" w:line="560" w:lineRule="exact"/>
        <w:ind w:firstLineChars="200" w:firstLine="643"/>
        <w:jc w:val="both"/>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sidR="008A04CE">
        <w:rPr>
          <w:rFonts w:ascii="楷体_GB2312" w:eastAsia="楷体_GB2312" w:hAnsi="楷体_GB2312" w:cs="楷体_GB2312" w:hint="eastAsia"/>
          <w:b/>
          <w:bCs/>
          <w:sz w:val="32"/>
          <w:szCs w:val="32"/>
        </w:rPr>
        <w:t>五</w:t>
      </w:r>
      <w:r>
        <w:rPr>
          <w:rFonts w:ascii="楷体_GB2312" w:eastAsia="楷体_GB2312" w:hAnsi="楷体_GB2312" w:cs="楷体_GB2312" w:hint="eastAsia"/>
          <w:b/>
          <w:bCs/>
          <w:sz w:val="32"/>
          <w:szCs w:val="32"/>
        </w:rPr>
        <w:t>）基金投向</w:t>
      </w:r>
    </w:p>
    <w:p w:rsidR="008224D6" w:rsidRDefault="00AD0A97" w:rsidP="008224D6">
      <w:pPr>
        <w:spacing w:line="540" w:lineRule="exact"/>
        <w:ind w:firstLine="641"/>
        <w:rPr>
          <w:rFonts w:ascii="仿宋_GB2312" w:eastAsia="仿宋_GB2312" w:hAnsi="仿宋_GB2312" w:cs="仿宋_GB2312"/>
          <w:spacing w:val="8"/>
          <w:sz w:val="32"/>
          <w:szCs w:val="32"/>
          <w:shd w:val="clear" w:color="auto" w:fill="FFFFFF"/>
        </w:rPr>
      </w:pPr>
      <w:r>
        <w:rPr>
          <w:rFonts w:ascii="仿宋_GB2312" w:eastAsia="仿宋_GB2312" w:hAnsi="仿宋_GB2312" w:cs="仿宋_GB2312" w:hint="eastAsia"/>
          <w:spacing w:val="8"/>
          <w:kern w:val="0"/>
          <w:sz w:val="32"/>
          <w:szCs w:val="32"/>
          <w:shd w:val="clear" w:color="auto" w:fill="FFFFFF"/>
        </w:rPr>
        <w:t>1、</w:t>
      </w:r>
      <w:r>
        <w:rPr>
          <w:rFonts w:ascii="仿宋_GB2312" w:eastAsia="仿宋_GB2312" w:hAnsi="仿宋_GB2312" w:cs="仿宋_GB2312" w:hint="eastAsia"/>
          <w:spacing w:val="8"/>
          <w:sz w:val="32"/>
          <w:szCs w:val="32"/>
          <w:shd w:val="clear" w:color="auto" w:fill="FFFFFF"/>
        </w:rPr>
        <w:t>战新基地建设项目。聚焦马鞍山博望区的高端数控机床战新基地建设，围绕区内数控机床、刃模具、锻铸造、机械零部件等领域发展潜力大、成长性强的优质企业，通过上下游企业投资，培育打造若干“专精特新”示范企业，服务企业做强做大、推动上市，实现产业链“补链、延链、强链”，推动高效协同产业集聚。</w:t>
      </w:r>
    </w:p>
    <w:p w:rsidR="008224D6" w:rsidRDefault="00AD0A97" w:rsidP="008224D6">
      <w:pPr>
        <w:spacing w:line="540" w:lineRule="exact"/>
        <w:ind w:firstLine="641"/>
        <w:rPr>
          <w:rFonts w:ascii="Times New Roman" w:eastAsia="仿宋_GB2312" w:hAnsi="Times New Roman" w:cs="Times New Roman"/>
          <w:sz w:val="32"/>
          <w:szCs w:val="32"/>
        </w:rPr>
      </w:pPr>
      <w:r>
        <w:rPr>
          <w:rFonts w:ascii="仿宋_GB2312" w:eastAsia="仿宋_GB2312" w:hAnsi="仿宋_GB2312" w:cs="仿宋_GB2312" w:hint="eastAsia"/>
          <w:spacing w:val="8"/>
          <w:sz w:val="32"/>
          <w:szCs w:val="32"/>
          <w:shd w:val="clear" w:color="auto" w:fill="FFFFFF"/>
        </w:rPr>
        <w:t>2、招引上市公司项目。重点关注博望区的产业发展诉求，依托基金管理人项目储备等资源，结合基金管理人在产业项目资源经验优势，挖掘行业内龙头上市公司的优质项目投资机遇，积极招引龙头企业到博望</w:t>
      </w:r>
      <w:r w:rsidR="00837133">
        <w:rPr>
          <w:rFonts w:ascii="仿宋_GB2312" w:eastAsia="仿宋_GB2312" w:hAnsi="仿宋_GB2312" w:cs="仿宋_GB2312" w:hint="eastAsia"/>
          <w:spacing w:val="8"/>
          <w:sz w:val="32"/>
          <w:szCs w:val="32"/>
          <w:shd w:val="clear" w:color="auto" w:fill="FFFFFF"/>
        </w:rPr>
        <w:t>区</w:t>
      </w:r>
      <w:r>
        <w:rPr>
          <w:rFonts w:ascii="仿宋_GB2312" w:eastAsia="仿宋_GB2312" w:hAnsi="仿宋_GB2312" w:cs="仿宋_GB2312" w:hint="eastAsia"/>
          <w:spacing w:val="8"/>
          <w:sz w:val="32"/>
          <w:szCs w:val="32"/>
          <w:shd w:val="clear" w:color="auto" w:fill="FFFFFF"/>
        </w:rPr>
        <w:t>产业落地。</w:t>
      </w:r>
    </w:p>
    <w:p w:rsidR="00900EB6" w:rsidRDefault="00AD0A97">
      <w:pPr>
        <w:pStyle w:val="a8"/>
        <w:shd w:val="clear" w:color="auto" w:fill="FFFFFF"/>
        <w:spacing w:before="0" w:beforeAutospacing="0" w:after="0" w:afterAutospacing="0" w:line="560" w:lineRule="exact"/>
        <w:ind w:firstLineChars="200" w:firstLine="643"/>
        <w:jc w:val="both"/>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sidR="008F19D9">
        <w:rPr>
          <w:rFonts w:ascii="楷体_GB2312" w:eastAsia="楷体_GB2312" w:hAnsi="楷体_GB2312" w:cs="楷体_GB2312" w:hint="eastAsia"/>
          <w:b/>
          <w:bCs/>
          <w:sz w:val="32"/>
          <w:szCs w:val="32"/>
        </w:rPr>
        <w:t>六</w:t>
      </w:r>
      <w:r>
        <w:rPr>
          <w:rFonts w:ascii="楷体_GB2312" w:eastAsia="楷体_GB2312" w:hAnsi="楷体_GB2312" w:cs="楷体_GB2312" w:hint="eastAsia"/>
          <w:b/>
          <w:bCs/>
          <w:sz w:val="32"/>
          <w:szCs w:val="32"/>
        </w:rPr>
        <w:t>）退出机制</w:t>
      </w:r>
    </w:p>
    <w:p w:rsidR="00900EB6" w:rsidRDefault="00AD0A97">
      <w:pPr>
        <w:pStyle w:val="a8"/>
        <w:shd w:val="clear" w:color="auto" w:fill="FFFFFF"/>
        <w:spacing w:before="0" w:beforeAutospacing="0" w:after="0" w:afterAutospacing="0" w:line="560" w:lineRule="exact"/>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主要退出方式有</w:t>
      </w:r>
      <w:r>
        <w:rPr>
          <w:rFonts w:ascii="Times New Roman" w:eastAsia="仿宋_GB2312" w:hAnsi="Times New Roman" w:cs="Times New Roman"/>
          <w:sz w:val="32"/>
          <w:szCs w:val="32"/>
        </w:rPr>
        <w:t>IPO</w:t>
      </w:r>
      <w:r>
        <w:rPr>
          <w:rFonts w:ascii="Times New Roman" w:eastAsia="仿宋_GB2312" w:hAnsi="Times New Roman" w:cs="Times New Roman"/>
          <w:sz w:val="32"/>
          <w:szCs w:val="32"/>
        </w:rPr>
        <w:t>、股权转让、并购重组、到期清算退出等。</w:t>
      </w:r>
    </w:p>
    <w:p w:rsidR="00900EB6" w:rsidRDefault="00AD0A97">
      <w:pPr>
        <w:pStyle w:val="a8"/>
        <w:shd w:val="clear" w:color="auto" w:fill="FFFFFF"/>
        <w:spacing w:before="0" w:beforeAutospacing="0" w:after="0" w:afterAutospacing="0" w:line="560" w:lineRule="exact"/>
        <w:ind w:firstLineChars="200" w:firstLine="643"/>
        <w:jc w:val="both"/>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sidR="008F19D9">
        <w:rPr>
          <w:rFonts w:ascii="楷体_GB2312" w:eastAsia="楷体_GB2312" w:hAnsi="楷体_GB2312" w:cs="楷体_GB2312" w:hint="eastAsia"/>
          <w:b/>
          <w:bCs/>
          <w:sz w:val="32"/>
          <w:szCs w:val="32"/>
        </w:rPr>
        <w:t>七</w:t>
      </w:r>
      <w:r>
        <w:rPr>
          <w:rFonts w:ascii="楷体_GB2312" w:eastAsia="楷体_GB2312" w:hAnsi="楷体_GB2312" w:cs="楷体_GB2312" w:hint="eastAsia"/>
          <w:b/>
          <w:bCs/>
          <w:sz w:val="32"/>
          <w:szCs w:val="32"/>
        </w:rPr>
        <w:t>）设立时限</w:t>
      </w:r>
    </w:p>
    <w:p w:rsidR="00900EB6" w:rsidRDefault="00AD0A97">
      <w:pPr>
        <w:pStyle w:val="a8"/>
        <w:shd w:val="clear" w:color="auto" w:fill="FFFFFF"/>
        <w:spacing w:before="0" w:beforeAutospacing="0" w:after="0" w:afterAutospacing="0" w:line="56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基金管理人应在比选通过后：</w:t>
      </w:r>
    </w:p>
    <w:p w:rsidR="00900EB6" w:rsidRDefault="00AD0A97">
      <w:pPr>
        <w:pStyle w:val="a8"/>
        <w:numPr>
          <w:ilvl w:val="0"/>
          <w:numId w:val="2"/>
        </w:numPr>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个工作日内与</w:t>
      </w:r>
      <w:r>
        <w:rPr>
          <w:rFonts w:ascii="Times New Roman" w:eastAsia="仿宋_GB2312" w:hAnsi="Times New Roman" w:cs="Times New Roman" w:hint="eastAsia"/>
          <w:sz w:val="32"/>
          <w:szCs w:val="32"/>
        </w:rPr>
        <w:t>马鞍山市兴博产业投资有限公司</w:t>
      </w:r>
      <w:r>
        <w:rPr>
          <w:rFonts w:ascii="Times New Roman" w:eastAsia="仿宋_GB2312" w:hAnsi="Times New Roman" w:cs="Times New Roman"/>
          <w:sz w:val="32"/>
          <w:szCs w:val="32"/>
        </w:rPr>
        <w:t>签订关于合作设立基金的协议。</w:t>
      </w:r>
    </w:p>
    <w:p w:rsidR="00900EB6" w:rsidRDefault="00AD0A97">
      <w:pPr>
        <w:pStyle w:val="a8"/>
        <w:numPr>
          <w:ilvl w:val="0"/>
          <w:numId w:val="2"/>
        </w:numPr>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应在</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sidR="00504DEC">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日前</w:t>
      </w:r>
      <w:r>
        <w:rPr>
          <w:rFonts w:ascii="Times New Roman" w:eastAsia="仿宋_GB2312" w:hAnsi="Times New Roman" w:cs="Times New Roman"/>
          <w:sz w:val="32"/>
          <w:szCs w:val="32"/>
        </w:rPr>
        <w:t>完成有限合伙企业的工商注册登记</w:t>
      </w:r>
      <w:r>
        <w:rPr>
          <w:rFonts w:ascii="Times New Roman" w:eastAsia="仿宋_GB2312" w:hAnsi="Times New Roman" w:cs="Times New Roman" w:hint="eastAsia"/>
          <w:sz w:val="32"/>
          <w:szCs w:val="32"/>
        </w:rPr>
        <w:t>以及</w:t>
      </w:r>
      <w:r>
        <w:rPr>
          <w:rFonts w:ascii="Times New Roman" w:eastAsia="仿宋_GB2312" w:hAnsi="Times New Roman" w:cs="Times New Roman"/>
          <w:sz w:val="32"/>
          <w:szCs w:val="32"/>
        </w:rPr>
        <w:t>基金在中国证券投资基金业协会的备案登记。</w:t>
      </w:r>
    </w:p>
    <w:p w:rsidR="00900EB6" w:rsidRDefault="00AD0A97">
      <w:pPr>
        <w:pStyle w:val="a8"/>
        <w:shd w:val="clear" w:color="auto" w:fill="FFFFFF"/>
        <w:spacing w:before="0" w:beforeAutospacing="0" w:after="0" w:afterAutospacing="0" w:line="560" w:lineRule="exact"/>
        <w:ind w:left="640"/>
        <w:jc w:val="both"/>
        <w:outlineLvl w:val="1"/>
        <w:rPr>
          <w:rFonts w:ascii="楷体_GB2312" w:eastAsia="楷体_GB2312" w:hAnsi="仿宋_GB2312" w:cs="仿宋_GB2312"/>
          <w:b/>
          <w:spacing w:val="8"/>
          <w:sz w:val="32"/>
          <w:szCs w:val="32"/>
          <w:shd w:val="clear" w:color="auto" w:fill="FFFFFF"/>
        </w:rPr>
      </w:pPr>
      <w:r>
        <w:rPr>
          <w:rFonts w:ascii="楷体_GB2312" w:eastAsia="楷体_GB2312" w:hAnsi="Times New Roman" w:cs="Times New Roman" w:hint="eastAsia"/>
          <w:b/>
          <w:sz w:val="32"/>
          <w:szCs w:val="32"/>
        </w:rPr>
        <w:t>（</w:t>
      </w:r>
      <w:r w:rsidR="008F19D9">
        <w:rPr>
          <w:rFonts w:ascii="楷体_GB2312" w:eastAsia="楷体_GB2312" w:hAnsi="Times New Roman" w:cs="Times New Roman" w:hint="eastAsia"/>
          <w:b/>
          <w:sz w:val="32"/>
          <w:szCs w:val="32"/>
        </w:rPr>
        <w:t>八</w:t>
      </w:r>
      <w:r>
        <w:rPr>
          <w:rFonts w:ascii="楷体_GB2312" w:eastAsia="楷体_GB2312" w:hAnsi="Times New Roman" w:cs="Times New Roman" w:hint="eastAsia"/>
          <w:b/>
          <w:sz w:val="32"/>
          <w:szCs w:val="32"/>
        </w:rPr>
        <w:t>）</w:t>
      </w:r>
      <w:r>
        <w:rPr>
          <w:rFonts w:ascii="楷体_GB2312" w:eastAsia="楷体_GB2312" w:hAnsi="仿宋_GB2312" w:cs="仿宋_GB2312" w:hint="eastAsia"/>
          <w:b/>
          <w:spacing w:val="8"/>
          <w:sz w:val="32"/>
          <w:szCs w:val="32"/>
          <w:shd w:val="clear" w:color="auto" w:fill="FFFFFF"/>
        </w:rPr>
        <w:t>投资要求与限制</w:t>
      </w:r>
    </w:p>
    <w:p w:rsidR="00900EB6" w:rsidRDefault="00AD0A97" w:rsidP="006146D3">
      <w:pPr>
        <w:pStyle w:val="a8"/>
        <w:shd w:val="clear" w:color="auto" w:fill="FFFFFF"/>
        <w:spacing w:before="0" w:beforeAutospacing="0" w:after="0" w:afterAutospacing="0" w:line="560" w:lineRule="exact"/>
        <w:ind w:firstLineChars="200" w:firstLine="672"/>
        <w:jc w:val="both"/>
        <w:rPr>
          <w:rFonts w:ascii="仿宋_GB2312" w:eastAsia="仿宋_GB2312" w:hAnsi="仿宋" w:cs="仿宋"/>
          <w:color w:val="000000"/>
          <w:sz w:val="32"/>
          <w:szCs w:val="32"/>
        </w:rPr>
      </w:pPr>
      <w:r>
        <w:rPr>
          <w:rFonts w:ascii="仿宋_GB2312" w:eastAsia="仿宋_GB2312" w:hAnsi="仿宋_GB2312" w:cs="仿宋_GB2312" w:hint="eastAsia"/>
          <w:spacing w:val="8"/>
          <w:sz w:val="32"/>
          <w:szCs w:val="32"/>
          <w:shd w:val="clear" w:color="auto" w:fill="FFFFFF"/>
        </w:rPr>
        <w:t>（</w:t>
      </w:r>
      <w:r>
        <w:rPr>
          <w:rFonts w:ascii="仿宋_GB2312" w:eastAsia="仿宋_GB2312" w:hAnsi="仿宋_GB2312" w:cs="仿宋_GB2312"/>
          <w:spacing w:val="8"/>
          <w:sz w:val="32"/>
          <w:szCs w:val="32"/>
          <w:shd w:val="clear" w:color="auto" w:fill="FFFFFF"/>
        </w:rPr>
        <w:t>1</w:t>
      </w:r>
      <w:r>
        <w:rPr>
          <w:rFonts w:ascii="仿宋_GB2312" w:eastAsia="仿宋_GB2312" w:hAnsi="仿宋_GB2312" w:cs="仿宋_GB2312" w:hint="eastAsia"/>
          <w:spacing w:val="8"/>
          <w:sz w:val="32"/>
          <w:szCs w:val="32"/>
          <w:shd w:val="clear" w:color="auto" w:fill="FFFFFF"/>
        </w:rPr>
        <w:t>）基金对单个项目的投资金额原则上不超过基金认缴规模的20%；（2）基金对单个项目的投后股权比例原则上</w:t>
      </w:r>
      <w:r>
        <w:rPr>
          <w:rFonts w:ascii="仿宋_GB2312" w:eastAsia="仿宋_GB2312" w:hAnsi="仿宋_GB2312" w:cs="仿宋_GB2312" w:hint="eastAsia"/>
          <w:spacing w:val="8"/>
          <w:sz w:val="32"/>
          <w:szCs w:val="32"/>
          <w:shd w:val="clear" w:color="auto" w:fill="FFFFFF"/>
        </w:rPr>
        <w:lastRenderedPageBreak/>
        <w:t>不超过30%，且不得成为该项目的第一大股东并控股该项目（以并购为目的投资及专项基金除外）；（3）基金通过可转股债权形式投资非上市企业、参与省内上市公司并购重组，金额不超过基金认缴出资总额的20%；（4）基金原则上不可进行循环投资；</w:t>
      </w:r>
      <w:r>
        <w:rPr>
          <w:rFonts w:ascii="仿宋_GB2312" w:eastAsia="仿宋_GB2312" w:hAnsi="仿宋" w:cs="仿宋" w:hint="eastAsia"/>
          <w:color w:val="000000"/>
          <w:sz w:val="32"/>
          <w:szCs w:val="32"/>
        </w:rPr>
        <w:t>（5）关联交易：原则上本基金尽量避免与合伙人及其关联人之间进行收购或出售投资标的等关联交易。如发生关联交易的，应提交合伙人会议经非关联合伙人（与关联交易有关的合伙人应回避）审议一致同意，且该等关联交易应符合公平、合理有利于合伙企业的原则，不得损害本合伙企业的利益。</w:t>
      </w:r>
    </w:p>
    <w:p w:rsidR="00900EB6" w:rsidRDefault="00AD0A97">
      <w:pPr>
        <w:pStyle w:val="a8"/>
        <w:shd w:val="clear" w:color="auto" w:fill="FFFFFF"/>
        <w:spacing w:before="0" w:beforeAutospacing="0" w:after="0" w:afterAutospacing="0" w:line="560" w:lineRule="exact"/>
        <w:ind w:left="640"/>
        <w:jc w:val="both"/>
        <w:outlineLvl w:val="1"/>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w:t>
      </w:r>
      <w:r w:rsidR="00377E7D">
        <w:rPr>
          <w:rFonts w:ascii="楷体_GB2312" w:eastAsia="楷体_GB2312" w:hAnsi="Times New Roman" w:cs="Times New Roman" w:hint="eastAsia"/>
          <w:b/>
          <w:sz w:val="32"/>
          <w:szCs w:val="32"/>
        </w:rPr>
        <w:t>九</w:t>
      </w:r>
      <w:r>
        <w:rPr>
          <w:rFonts w:ascii="楷体_GB2312" w:eastAsia="楷体_GB2312" w:hAnsi="Times New Roman" w:cs="Times New Roman" w:hint="eastAsia"/>
          <w:b/>
          <w:sz w:val="32"/>
          <w:szCs w:val="32"/>
        </w:rPr>
        <w:t>）基金返投比例</w:t>
      </w:r>
    </w:p>
    <w:p w:rsidR="00900EB6" w:rsidRDefault="00AD0A97">
      <w:pPr>
        <w:pStyle w:val="a8"/>
        <w:shd w:val="clear" w:color="auto" w:fill="FFFFFF"/>
        <w:spacing w:before="0" w:beforeAutospacing="0" w:after="0" w:afterAutospacing="0" w:line="560" w:lineRule="exact"/>
        <w:ind w:firstLineChars="200" w:firstLine="640"/>
        <w:jc w:val="both"/>
        <w:rPr>
          <w:rFonts w:ascii="楷体_GB2312" w:eastAsia="楷体_GB2312" w:hAnsi="Times New Roman" w:cs="Times New Roman"/>
          <w:b/>
          <w:sz w:val="32"/>
          <w:szCs w:val="32"/>
        </w:rPr>
      </w:pPr>
      <w:r>
        <w:rPr>
          <w:rFonts w:ascii="仿宋_GB2312" w:eastAsia="仿宋_GB2312" w:hAnsi="仿宋" w:cs="仿宋" w:hint="eastAsia"/>
          <w:bCs/>
          <w:sz w:val="32"/>
          <w:szCs w:val="32"/>
        </w:rPr>
        <w:t>在基金存续期内，基金实际在马鞍山博望区的项目投资金额不低于马鞍山市和博望区实际出资金额的1.5倍（马鞍山博望区项目指注册在马鞍山博望区内的项目，或以在马鞍山博望区设立研发基地或生产基地等为投放条件的注册在马鞍山博望区外的项目）。</w:t>
      </w:r>
    </w:p>
    <w:p w:rsidR="00900EB6" w:rsidRDefault="00AD0A97">
      <w:pPr>
        <w:spacing w:line="540" w:lineRule="exact"/>
        <w:ind w:firstLineChars="200" w:firstLine="643"/>
        <w:outlineLvl w:val="1"/>
        <w:rPr>
          <w:rFonts w:ascii="楷体_GB2312" w:eastAsia="楷体_GB2312" w:hAnsi="仿宋_GB2312" w:cs="仿宋_GB2312"/>
          <w:b/>
          <w:spacing w:val="8"/>
          <w:sz w:val="32"/>
          <w:szCs w:val="32"/>
          <w:shd w:val="clear" w:color="auto" w:fill="FFFFFF"/>
        </w:rPr>
      </w:pPr>
      <w:r>
        <w:rPr>
          <w:rFonts w:ascii="楷体_GB2312" w:eastAsia="楷体_GB2312" w:hAnsi="Times New Roman" w:cs="Times New Roman" w:hint="eastAsia"/>
          <w:b/>
          <w:sz w:val="32"/>
          <w:szCs w:val="32"/>
        </w:rPr>
        <w:t>（十）</w:t>
      </w:r>
      <w:r>
        <w:rPr>
          <w:rFonts w:ascii="楷体_GB2312" w:eastAsia="楷体_GB2312" w:hAnsi="仿宋_GB2312" w:cs="仿宋_GB2312" w:hint="eastAsia"/>
          <w:b/>
          <w:spacing w:val="8"/>
          <w:sz w:val="32"/>
          <w:szCs w:val="32"/>
          <w:shd w:val="clear" w:color="auto" w:fill="FFFFFF"/>
        </w:rPr>
        <w:t>基金收益分配和退出</w:t>
      </w:r>
    </w:p>
    <w:p w:rsidR="00900EB6" w:rsidRDefault="00AD0A97">
      <w:pPr>
        <w:spacing w:line="520" w:lineRule="exact"/>
        <w:ind w:firstLineChars="200" w:firstLine="640"/>
        <w:jc w:val="left"/>
        <w:rPr>
          <w:rFonts w:ascii="仿宋_GB2312" w:eastAsia="仿宋_GB2312" w:hAnsi="仿宋" w:cs="仿宋"/>
          <w:color w:val="000000"/>
          <w:sz w:val="32"/>
          <w:szCs w:val="32"/>
        </w:rPr>
      </w:pPr>
      <w:r>
        <w:rPr>
          <w:rFonts w:ascii="仿宋_GB2312" w:eastAsia="仿宋_GB2312" w:hAnsi="宋体" w:hint="eastAsia"/>
          <w:sz w:val="32"/>
          <w:szCs w:val="32"/>
        </w:rPr>
        <w:t>1、收益分配方式：</w:t>
      </w:r>
      <w:r>
        <w:rPr>
          <w:rFonts w:ascii="仿宋_GB2312" w:eastAsia="仿宋_GB2312" w:hAnsi="仿宋" w:cs="仿宋" w:hint="eastAsia"/>
          <w:color w:val="000000"/>
          <w:sz w:val="32"/>
          <w:szCs w:val="32"/>
        </w:rPr>
        <w:t>门槛收益率8%。超出部分由基金管理人提取20%的业绩报酬，其余80%收益按出资比例分配。具体分配对象和分配比例以基金各合伙人最终商定为准。</w:t>
      </w:r>
    </w:p>
    <w:p w:rsidR="00900EB6" w:rsidRDefault="00AD0A97" w:rsidP="00B1609D">
      <w:pPr>
        <w:spacing w:line="520" w:lineRule="exact"/>
        <w:ind w:firstLineChars="223" w:firstLine="714"/>
        <w:jc w:val="left"/>
        <w:rPr>
          <w:rFonts w:ascii="仿宋_GB2312" w:eastAsia="仿宋_GB2312" w:hAnsi="宋体"/>
          <w:sz w:val="32"/>
          <w:szCs w:val="32"/>
        </w:rPr>
      </w:pPr>
      <w:r>
        <w:rPr>
          <w:rFonts w:ascii="仿宋_GB2312" w:eastAsia="仿宋_GB2312" w:hAnsi="宋体" w:hint="eastAsia"/>
          <w:sz w:val="32"/>
          <w:szCs w:val="32"/>
        </w:rPr>
        <w:t>2、亏损分担：任何一个投资项目的亏损及其他亏损的分担，全体合伙人按出资份额比例承担。合伙企业财产不足以清偿合伙债务的，由普通合伙人向债权人承担无限连带清偿责任。</w:t>
      </w:r>
    </w:p>
    <w:p w:rsidR="00900EB6" w:rsidRDefault="00AD0A97" w:rsidP="00900EB6">
      <w:pPr>
        <w:spacing w:line="520" w:lineRule="exact"/>
        <w:ind w:firstLine="641"/>
        <w:rPr>
          <w:rFonts w:ascii="仿宋_GB2312" w:eastAsia="仿宋_GB2312" w:hAnsi="宋体"/>
          <w:color w:val="FF0000"/>
          <w:sz w:val="32"/>
          <w:szCs w:val="32"/>
        </w:rPr>
      </w:pPr>
      <w:r>
        <w:rPr>
          <w:rFonts w:ascii="仿宋_GB2312" w:eastAsia="仿宋_GB2312" w:hint="eastAsia"/>
          <w:sz w:val="32"/>
          <w:szCs w:val="32"/>
        </w:rPr>
        <w:t>3、退</w:t>
      </w:r>
      <w:r>
        <w:rPr>
          <w:rFonts w:ascii="仿宋_GB2312" w:eastAsia="仿宋_GB2312" w:hAnsi="宋体" w:hint="eastAsia"/>
          <w:sz w:val="32"/>
          <w:szCs w:val="32"/>
        </w:rPr>
        <w:t>出安排:基金存续期内，项目退出后即将可分配现金向出资方分配，基金按“整体先回本后分利”的原则核算并分</w:t>
      </w:r>
      <w:r>
        <w:rPr>
          <w:rFonts w:ascii="仿宋_GB2312" w:eastAsia="仿宋_GB2312" w:hAnsi="宋体" w:hint="eastAsia"/>
          <w:sz w:val="32"/>
          <w:szCs w:val="32"/>
        </w:rPr>
        <w:lastRenderedPageBreak/>
        <w:t>配；基金原则上存续期满进行清算分配，若期限延长，另作考虑。</w:t>
      </w:r>
    </w:p>
    <w:p w:rsidR="00900EB6" w:rsidRDefault="00AD0A97">
      <w:pPr>
        <w:pStyle w:val="a8"/>
        <w:numPr>
          <w:ilvl w:val="0"/>
          <w:numId w:val="1"/>
        </w:numPr>
        <w:shd w:val="clear" w:color="auto" w:fill="FFFFFF"/>
        <w:spacing w:before="0" w:beforeAutospacing="0" w:after="0" w:afterAutospacing="0" w:line="560" w:lineRule="exact"/>
        <w:ind w:firstLineChars="200" w:firstLine="640"/>
        <w:jc w:val="both"/>
        <w:outlineLvl w:val="0"/>
        <w:rPr>
          <w:rFonts w:ascii="Times New Roman" w:eastAsia="黑体" w:hAnsi="Times New Roman" w:cs="Times New Roman"/>
          <w:bCs/>
          <w:sz w:val="32"/>
          <w:szCs w:val="32"/>
        </w:rPr>
      </w:pPr>
      <w:r>
        <w:rPr>
          <w:rFonts w:ascii="Times New Roman" w:eastAsia="黑体" w:hAnsi="Times New Roman" w:cs="Times New Roman"/>
          <w:bCs/>
          <w:sz w:val="32"/>
          <w:szCs w:val="32"/>
        </w:rPr>
        <w:t>申报条件</w:t>
      </w:r>
    </w:p>
    <w:p w:rsidR="00900EB6" w:rsidRDefault="00AD0A97">
      <w:pPr>
        <w:pStyle w:val="a8"/>
        <w:shd w:val="clear" w:color="auto" w:fill="FFFFFF"/>
        <w:spacing w:before="0" w:beforeAutospacing="0" w:after="0" w:afterAutospacing="0" w:line="560" w:lineRule="exact"/>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基金实行决策与管理相分离的管理体制，按照</w:t>
      </w:r>
      <w:r>
        <w:rPr>
          <w:rFonts w:ascii="Times New Roman" w:eastAsia="仿宋_GB2312" w:hAnsi="Times New Roman" w:hint="eastAsia"/>
          <w:snapToGrid w:val="0"/>
          <w:color w:val="000000"/>
          <w:sz w:val="32"/>
          <w:szCs w:val="32"/>
        </w:rPr>
        <w:t>“国有资本引导、市场化运作、科学决策、防范风险”的原则运作，</w:t>
      </w:r>
      <w:r>
        <w:rPr>
          <w:rFonts w:ascii="Times New Roman" w:eastAsia="仿宋_GB2312" w:hAnsi="Times New Roman" w:cs="Times New Roman"/>
          <w:sz w:val="32"/>
          <w:szCs w:val="32"/>
        </w:rPr>
        <w:t>有限合伙人原则上不参与基金的日常运营管理。根据相关规定通过公开征集比选、专家评审的方式选定资本实力雄厚、投资经验丰富，熟悉</w:t>
      </w:r>
      <w:r>
        <w:rPr>
          <w:rFonts w:ascii="Times New Roman" w:eastAsia="仿宋_GB2312" w:hAnsi="Times New Roman" w:cs="Times New Roman" w:hint="eastAsia"/>
          <w:sz w:val="32"/>
          <w:szCs w:val="32"/>
        </w:rPr>
        <w:t>博望</w:t>
      </w:r>
      <w:r>
        <w:rPr>
          <w:rFonts w:ascii="Times New Roman" w:eastAsia="仿宋_GB2312" w:hAnsi="Times New Roman" w:cs="Times New Roman"/>
          <w:sz w:val="32"/>
          <w:szCs w:val="32"/>
        </w:rPr>
        <w:t>区产业、企业状况的基金管理机构负责基金运作。</w:t>
      </w:r>
      <w:r w:rsidR="002B43B8">
        <w:rPr>
          <w:rFonts w:ascii="Times New Roman" w:eastAsia="仿宋_GB2312" w:hAnsi="Times New Roman" w:cs="Times New Roman" w:hint="eastAsia"/>
          <w:sz w:val="32"/>
          <w:szCs w:val="32"/>
        </w:rPr>
        <w:t>本基金管理可采取双执行事务合伙人模式，具体由选定的基金管理人确定。</w:t>
      </w:r>
    </w:p>
    <w:p w:rsidR="00900EB6" w:rsidRDefault="00AD0A97">
      <w:pPr>
        <w:pStyle w:val="a8"/>
        <w:shd w:val="clear" w:color="auto" w:fill="FFFFFF"/>
        <w:spacing w:before="0" w:beforeAutospacing="0" w:after="0" w:afterAutospacing="0" w:line="560" w:lineRule="exact"/>
        <w:ind w:firstLine="641"/>
        <w:jc w:val="both"/>
        <w:rPr>
          <w:rFonts w:ascii="Times New Roman" w:eastAsia="楷体" w:hAnsi="Times New Roman" w:cs="Times New Roman"/>
          <w:b/>
          <w:bCs/>
          <w:sz w:val="32"/>
          <w:szCs w:val="32"/>
        </w:rPr>
      </w:pPr>
      <w:r>
        <w:rPr>
          <w:rFonts w:ascii="Times New Roman" w:eastAsia="楷体" w:hAnsi="Times New Roman" w:cs="Times New Roman"/>
          <w:b/>
          <w:bCs/>
          <w:sz w:val="32"/>
          <w:szCs w:val="32"/>
        </w:rPr>
        <w:t>拟合作基金管理机构的基本条件：</w:t>
      </w:r>
    </w:p>
    <w:p w:rsidR="00900EB6" w:rsidRDefault="00AD0A97">
      <w:pPr>
        <w:pStyle w:val="a8"/>
        <w:shd w:val="clear" w:color="auto" w:fill="FFFFFF"/>
        <w:spacing w:before="0" w:beforeAutospacing="0" w:after="0" w:afterAutospacing="0" w:line="560" w:lineRule="exact"/>
        <w:ind w:firstLine="640"/>
        <w:jc w:val="both"/>
        <w:outlineLvl w:val="1"/>
        <w:rPr>
          <w:rFonts w:ascii="Times New Roman" w:eastAsia="楷体" w:hAnsi="Times New Roman" w:cs="Times New Roman"/>
          <w:b/>
          <w:sz w:val="32"/>
          <w:szCs w:val="32"/>
        </w:rPr>
      </w:pPr>
      <w:r>
        <w:rPr>
          <w:rFonts w:ascii="Times New Roman" w:eastAsia="楷体" w:hAnsi="Times New Roman" w:cs="Times New Roman"/>
          <w:b/>
          <w:sz w:val="32"/>
          <w:szCs w:val="32"/>
        </w:rPr>
        <w:t>（一）</w:t>
      </w:r>
      <w:bookmarkStart w:id="1" w:name="_Hlk10037575"/>
      <w:r>
        <w:rPr>
          <w:rFonts w:ascii="Times New Roman" w:eastAsia="楷体" w:hAnsi="Times New Roman" w:cs="Times New Roman"/>
          <w:b/>
          <w:sz w:val="32"/>
          <w:szCs w:val="32"/>
        </w:rPr>
        <w:t>运营资质</w:t>
      </w:r>
    </w:p>
    <w:p w:rsidR="00900EB6" w:rsidRDefault="00AD0A97">
      <w:pPr>
        <w:pStyle w:val="a8"/>
        <w:shd w:val="clear" w:color="auto" w:fill="FFFFFF"/>
        <w:spacing w:before="0" w:beforeAutospacing="0" w:after="0" w:afterAutospacing="0" w:line="56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bookmarkStart w:id="2" w:name="_Hlk10188090"/>
      <w:r>
        <w:rPr>
          <w:rFonts w:ascii="Times New Roman" w:eastAsia="仿宋_GB2312" w:hAnsi="Times New Roman" w:cs="Times New Roman"/>
          <w:sz w:val="32"/>
          <w:szCs w:val="32"/>
        </w:rPr>
        <w:t>．股东具有强大</w:t>
      </w:r>
      <w:r>
        <w:rPr>
          <w:rFonts w:ascii="Times New Roman" w:eastAsia="仿宋_GB2312" w:hAnsi="Times New Roman" w:cs="Times New Roman" w:hint="eastAsia"/>
          <w:sz w:val="32"/>
          <w:szCs w:val="32"/>
        </w:rPr>
        <w:t>的出资实力以及较强的行业知名度</w:t>
      </w:r>
      <w:r>
        <w:rPr>
          <w:rFonts w:ascii="Times New Roman" w:eastAsia="仿宋_GB2312" w:hAnsi="Times New Roman" w:cs="Times New Roman"/>
          <w:sz w:val="32"/>
          <w:szCs w:val="32"/>
        </w:rPr>
        <w:t>。</w:t>
      </w:r>
      <w:bookmarkEnd w:id="1"/>
      <w:bookmarkEnd w:id="2"/>
    </w:p>
    <w:p w:rsidR="00900EB6" w:rsidRDefault="00AD0A97">
      <w:pPr>
        <w:widowControl/>
        <w:spacing w:line="560" w:lineRule="exact"/>
        <w:ind w:firstLineChars="200" w:firstLine="640"/>
        <w:jc w:val="left"/>
        <w:rPr>
          <w:rFonts w:ascii="Times New Roman" w:eastAsia="仿宋_GB2312" w:hAnsi="Times New Roman" w:cs="Times New Roman"/>
          <w:sz w:val="32"/>
          <w:szCs w:val="32"/>
        </w:rPr>
      </w:pPr>
      <w:bookmarkStart w:id="3" w:name="_Hlk10190857"/>
      <w:r>
        <w:rPr>
          <w:rFonts w:ascii="Times New Roman" w:eastAsia="仿宋_GB2312" w:hAnsi="Times New Roman" w:cs="Times New Roman"/>
          <w:sz w:val="32"/>
          <w:szCs w:val="32"/>
        </w:rPr>
        <w:t>2</w:t>
      </w:r>
      <w:bookmarkStart w:id="4" w:name="_Hlk10037634"/>
      <w:r>
        <w:rPr>
          <w:rFonts w:ascii="Times New Roman" w:eastAsia="仿宋_GB2312" w:hAnsi="Times New Roman" w:cs="Times New Roman"/>
          <w:sz w:val="32"/>
          <w:szCs w:val="32"/>
        </w:rPr>
        <w:t>．具备国家规定的</w:t>
      </w:r>
      <w:r>
        <w:rPr>
          <w:rFonts w:ascii="Times New Roman" w:eastAsia="仿宋_GB2312" w:hAnsi="Times New Roman" w:cs="Times New Roman" w:hint="eastAsia"/>
          <w:sz w:val="32"/>
          <w:szCs w:val="32"/>
        </w:rPr>
        <w:t>私募股权</w:t>
      </w:r>
      <w:r>
        <w:rPr>
          <w:rFonts w:ascii="Times New Roman" w:eastAsia="仿宋_GB2312" w:hAnsi="Times New Roman" w:cs="Times New Roman"/>
          <w:sz w:val="32"/>
          <w:szCs w:val="32"/>
        </w:rPr>
        <w:t>基金管理</w:t>
      </w:r>
      <w:r>
        <w:rPr>
          <w:rFonts w:ascii="Times New Roman" w:eastAsia="仿宋_GB2312" w:hAnsi="Times New Roman" w:cs="Times New Roman" w:hint="eastAsia"/>
          <w:sz w:val="32"/>
          <w:szCs w:val="32"/>
        </w:rPr>
        <w:t>人</w:t>
      </w:r>
      <w:r>
        <w:rPr>
          <w:rFonts w:ascii="Times New Roman" w:eastAsia="仿宋_GB2312" w:hAnsi="Times New Roman" w:cs="Times New Roman"/>
          <w:sz w:val="32"/>
          <w:szCs w:val="32"/>
        </w:rPr>
        <w:t>资质，在中国证券</w:t>
      </w:r>
      <w:r>
        <w:rPr>
          <w:rFonts w:ascii="Times New Roman" w:eastAsia="仿宋_GB2312" w:hAnsi="Times New Roman" w:cs="Times New Roman" w:hint="eastAsia"/>
          <w:sz w:val="32"/>
          <w:szCs w:val="32"/>
        </w:rPr>
        <w:t>投资</w:t>
      </w:r>
      <w:r>
        <w:rPr>
          <w:rFonts w:ascii="Times New Roman" w:eastAsia="仿宋_GB2312" w:hAnsi="Times New Roman" w:cs="Times New Roman"/>
          <w:sz w:val="32"/>
          <w:szCs w:val="32"/>
        </w:rPr>
        <w:t>基金业协会履行登记和备案手续，无违法违纪等不良诚信记录。</w:t>
      </w:r>
      <w:bookmarkEnd w:id="3"/>
      <w:bookmarkEnd w:id="4"/>
    </w:p>
    <w:p w:rsidR="00900EB6" w:rsidRDefault="00AD0A97">
      <w:pPr>
        <w:pStyle w:val="a8"/>
        <w:shd w:val="clear" w:color="auto" w:fill="FFFFFF"/>
        <w:spacing w:before="0" w:beforeAutospacing="0" w:after="0" w:afterAutospacing="0" w:line="560" w:lineRule="exact"/>
        <w:ind w:firstLine="640"/>
        <w:jc w:val="both"/>
        <w:outlineLvl w:val="1"/>
        <w:rPr>
          <w:rFonts w:ascii="Times New Roman" w:eastAsia="楷体" w:hAnsi="Times New Roman" w:cs="Times New Roman"/>
          <w:b/>
          <w:sz w:val="32"/>
          <w:szCs w:val="32"/>
        </w:rPr>
      </w:pPr>
      <w:bookmarkStart w:id="5" w:name="_Hlk10190932"/>
      <w:r>
        <w:rPr>
          <w:rFonts w:ascii="Times New Roman" w:eastAsia="楷体" w:hAnsi="Times New Roman" w:cs="Times New Roman"/>
          <w:b/>
          <w:sz w:val="32"/>
          <w:szCs w:val="32"/>
        </w:rPr>
        <w:t>（二）管理团队</w:t>
      </w:r>
    </w:p>
    <w:p w:rsidR="00900EB6" w:rsidRDefault="00AD0A97">
      <w:pPr>
        <w:pStyle w:val="a8"/>
        <w:shd w:val="clear" w:color="auto" w:fill="FFFFFF"/>
        <w:spacing w:before="0" w:beforeAutospacing="0" w:after="0" w:afterAutospacing="0" w:line="560" w:lineRule="exact"/>
        <w:ind w:firstLine="641"/>
        <w:jc w:val="both"/>
        <w:rPr>
          <w:rFonts w:ascii="Times New Roman" w:eastAsia="楷体" w:hAnsi="Times New Roman" w:cs="Times New Roman"/>
          <w:b/>
          <w:sz w:val="32"/>
          <w:szCs w:val="32"/>
        </w:rPr>
      </w:pPr>
      <w:r>
        <w:rPr>
          <w:rFonts w:ascii="Times New Roman" w:eastAsia="仿宋_GB2312" w:hAnsi="Times New Roman" w:cs="Times New Roman"/>
          <w:sz w:val="32"/>
          <w:szCs w:val="32"/>
        </w:rPr>
        <w:t>至少有</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名具备</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年以上股权投资管理</w:t>
      </w:r>
      <w:r>
        <w:rPr>
          <w:rFonts w:ascii="Times New Roman" w:eastAsia="仿宋_GB2312" w:hAnsi="Times New Roman" w:cs="Times New Roman" w:hint="eastAsia"/>
          <w:sz w:val="32"/>
          <w:szCs w:val="32"/>
        </w:rPr>
        <w:t>相关</w:t>
      </w:r>
      <w:r>
        <w:rPr>
          <w:rFonts w:ascii="Times New Roman" w:eastAsia="仿宋_GB2312" w:hAnsi="Times New Roman" w:cs="Times New Roman"/>
          <w:sz w:val="32"/>
          <w:szCs w:val="32"/>
        </w:rPr>
        <w:t>经验的高级管理人员</w:t>
      </w:r>
      <w:bookmarkStart w:id="6" w:name="_Hlk10037382"/>
      <w:r>
        <w:rPr>
          <w:rFonts w:ascii="Times New Roman" w:eastAsia="仿宋_GB2312" w:hAnsi="Times New Roman" w:cs="Times New Roman"/>
          <w:sz w:val="32"/>
          <w:szCs w:val="32"/>
        </w:rPr>
        <w:t>，管理团队承诺团队关键人在基金运作期间中途</w:t>
      </w:r>
      <w:r>
        <w:rPr>
          <w:rFonts w:ascii="Times New Roman" w:eastAsia="仿宋_GB2312" w:hAnsi="Times New Roman" w:cs="Times New Roman" w:hint="eastAsia"/>
          <w:sz w:val="32"/>
          <w:szCs w:val="32"/>
        </w:rPr>
        <w:t>不得无故</w:t>
      </w:r>
      <w:r>
        <w:rPr>
          <w:rFonts w:ascii="Times New Roman" w:eastAsia="仿宋_GB2312" w:hAnsi="Times New Roman" w:cs="Times New Roman"/>
          <w:sz w:val="32"/>
          <w:szCs w:val="32"/>
        </w:rPr>
        <w:t>退出，且高级管理人员中，具有</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年以上相关经验的不少于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w:t>
      </w:r>
      <w:bookmarkEnd w:id="6"/>
      <w:r>
        <w:rPr>
          <w:rFonts w:ascii="Times New Roman" w:eastAsia="仿宋_GB2312" w:hAnsi="Times New Roman" w:cs="Times New Roman"/>
          <w:sz w:val="32"/>
          <w:szCs w:val="32"/>
        </w:rPr>
        <w:t>。</w:t>
      </w:r>
    </w:p>
    <w:p w:rsidR="00900EB6" w:rsidRDefault="00AD0A97">
      <w:pPr>
        <w:pStyle w:val="a8"/>
        <w:shd w:val="clear" w:color="auto" w:fill="FFFFFF"/>
        <w:spacing w:before="0" w:beforeAutospacing="0" w:after="0" w:afterAutospacing="0" w:line="560" w:lineRule="exact"/>
        <w:ind w:firstLine="640"/>
        <w:jc w:val="both"/>
        <w:outlineLvl w:val="1"/>
        <w:rPr>
          <w:rFonts w:ascii="Times New Roman" w:eastAsia="楷体" w:hAnsi="Times New Roman" w:cs="Times New Roman"/>
          <w:b/>
          <w:sz w:val="32"/>
          <w:szCs w:val="32"/>
        </w:rPr>
      </w:pPr>
      <w:r>
        <w:rPr>
          <w:rFonts w:ascii="Times New Roman" w:eastAsia="楷体" w:hAnsi="Times New Roman" w:cs="Times New Roman"/>
          <w:b/>
          <w:sz w:val="32"/>
          <w:szCs w:val="32"/>
        </w:rPr>
        <w:t>（三）管理业绩</w:t>
      </w:r>
    </w:p>
    <w:p w:rsidR="00900EB6" w:rsidRDefault="00AD0A97">
      <w:pPr>
        <w:pStyle w:val="a8"/>
        <w:shd w:val="clear" w:color="auto" w:fill="FFFFFF"/>
        <w:spacing w:before="0" w:beforeAutospacing="0" w:after="0" w:afterAutospacing="0" w:line="56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管理团队的负责人具有管理政府产业基金、母基金</w:t>
      </w:r>
      <w:r>
        <w:rPr>
          <w:rFonts w:ascii="Times New Roman" w:eastAsia="仿宋_GB2312" w:hAnsi="Times New Roman" w:cs="Times New Roman" w:hint="eastAsia"/>
          <w:sz w:val="32"/>
          <w:szCs w:val="32"/>
        </w:rPr>
        <w:t>及其它国有背景的股权投资基金</w:t>
      </w:r>
      <w:r>
        <w:rPr>
          <w:rFonts w:ascii="Times New Roman" w:eastAsia="仿宋_GB2312" w:hAnsi="Times New Roman" w:cs="Times New Roman"/>
          <w:sz w:val="32"/>
          <w:szCs w:val="32"/>
        </w:rPr>
        <w:t>的相关经验，实际管理的基金总规模不低于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亿元。</w:t>
      </w:r>
    </w:p>
    <w:p w:rsidR="00900EB6" w:rsidRDefault="00AD0A97">
      <w:pPr>
        <w:pStyle w:val="a8"/>
        <w:shd w:val="clear" w:color="auto" w:fill="FFFFFF"/>
        <w:spacing w:before="0" w:beforeAutospacing="0" w:after="0" w:afterAutospacing="0" w:line="560" w:lineRule="exact"/>
        <w:ind w:firstLine="640"/>
        <w:jc w:val="both"/>
        <w:outlineLvl w:val="1"/>
        <w:rPr>
          <w:rFonts w:ascii="Times New Roman" w:eastAsia="楷体" w:hAnsi="Times New Roman" w:cs="Times New Roman"/>
          <w:b/>
          <w:sz w:val="32"/>
          <w:szCs w:val="32"/>
        </w:rPr>
      </w:pPr>
      <w:r>
        <w:rPr>
          <w:rFonts w:ascii="Times New Roman" w:eastAsia="楷体" w:hAnsi="Times New Roman" w:cs="Times New Roman"/>
          <w:b/>
          <w:sz w:val="32"/>
          <w:szCs w:val="32"/>
        </w:rPr>
        <w:lastRenderedPageBreak/>
        <w:t>（四）专业能力</w:t>
      </w:r>
    </w:p>
    <w:p w:rsidR="00900EB6" w:rsidRDefault="00AD0A97">
      <w:pPr>
        <w:pStyle w:val="a8"/>
        <w:shd w:val="clear" w:color="auto" w:fill="FFFFFF"/>
        <w:spacing w:before="0" w:beforeAutospacing="0" w:after="0" w:afterAutospacing="0" w:line="56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管理团队的核心人员具有丰富的产业资源和投资管理经验，具备较强的专业领域的投资和研判能力。</w:t>
      </w:r>
    </w:p>
    <w:p w:rsidR="00900EB6" w:rsidRDefault="00AD0A97">
      <w:pPr>
        <w:pStyle w:val="a8"/>
        <w:shd w:val="clear" w:color="auto" w:fill="FFFFFF"/>
        <w:spacing w:before="0" w:beforeAutospacing="0" w:after="0" w:afterAutospacing="0" w:line="560" w:lineRule="exact"/>
        <w:ind w:firstLine="640"/>
        <w:jc w:val="both"/>
        <w:outlineLvl w:val="1"/>
        <w:rPr>
          <w:rFonts w:ascii="Times New Roman" w:eastAsia="楷体" w:hAnsi="Times New Roman" w:cs="Times New Roman"/>
          <w:b/>
          <w:bCs/>
          <w:sz w:val="32"/>
          <w:szCs w:val="32"/>
        </w:rPr>
      </w:pPr>
      <w:r>
        <w:rPr>
          <w:rFonts w:ascii="Times New Roman" w:eastAsia="楷体" w:hAnsi="Times New Roman" w:cs="Times New Roman"/>
          <w:b/>
          <w:bCs/>
          <w:sz w:val="32"/>
          <w:szCs w:val="32"/>
        </w:rPr>
        <w:t>（五）管理机制</w:t>
      </w:r>
    </w:p>
    <w:p w:rsidR="00900EB6" w:rsidRDefault="00AD0A97">
      <w:pPr>
        <w:pStyle w:val="a8"/>
        <w:shd w:val="clear" w:color="auto" w:fill="FFFFFF"/>
        <w:spacing w:before="0" w:beforeAutospacing="0" w:after="0" w:afterAutospacing="0" w:line="56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管理团队具备规范的项目准入机制和严格的投资决策程序，健全的产业投资管理和风险控制流程，完备的投资管理制度、完整的投资档案体系及健全的财务管理制度。</w:t>
      </w:r>
    </w:p>
    <w:p w:rsidR="00900EB6" w:rsidRDefault="00AD0A97">
      <w:pPr>
        <w:pStyle w:val="a8"/>
        <w:numPr>
          <w:ilvl w:val="0"/>
          <w:numId w:val="1"/>
        </w:numPr>
        <w:shd w:val="clear" w:color="auto" w:fill="FFFFFF"/>
        <w:spacing w:before="0" w:beforeAutospacing="0" w:after="0" w:afterAutospacing="0" w:line="560" w:lineRule="exact"/>
        <w:ind w:firstLineChars="200" w:firstLine="640"/>
        <w:jc w:val="both"/>
        <w:outlineLvl w:val="0"/>
        <w:rPr>
          <w:rFonts w:ascii="Times New Roman" w:eastAsia="黑体" w:hAnsi="Times New Roman" w:cs="Times New Roman"/>
          <w:bCs/>
          <w:sz w:val="32"/>
          <w:szCs w:val="32"/>
        </w:rPr>
      </w:pPr>
      <w:r>
        <w:rPr>
          <w:rFonts w:ascii="Times New Roman" w:eastAsia="黑体" w:hAnsi="Times New Roman" w:cs="Times New Roman"/>
          <w:bCs/>
          <w:sz w:val="32"/>
          <w:szCs w:val="32"/>
        </w:rPr>
        <w:t>比选要点</w:t>
      </w:r>
    </w:p>
    <w:p w:rsidR="00900EB6" w:rsidRDefault="00AD0A97">
      <w:pPr>
        <w:pStyle w:val="a8"/>
        <w:shd w:val="clear" w:color="auto" w:fill="FFFFFF"/>
        <w:spacing w:before="0" w:beforeAutospacing="0" w:after="0" w:afterAutospacing="0" w:line="56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下述条件作为评审委员会打分依据及申报机构优先被选择的因素。</w:t>
      </w:r>
    </w:p>
    <w:p w:rsidR="00900EB6" w:rsidRDefault="00AD0A97">
      <w:pPr>
        <w:pStyle w:val="a8"/>
        <w:shd w:val="clear" w:color="auto" w:fill="FFFFFF"/>
        <w:spacing w:before="0" w:beforeAutospacing="0" w:after="0" w:afterAutospacing="0" w:line="560" w:lineRule="exact"/>
        <w:ind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（一）</w:t>
      </w:r>
      <w:r>
        <w:rPr>
          <w:rFonts w:ascii="Times New Roman" w:eastAsia="仿宋_GB2312" w:hAnsi="Times New Roman" w:cs="Times New Roman"/>
          <w:sz w:val="32"/>
          <w:szCs w:val="32"/>
        </w:rPr>
        <w:t>在中国证券投资基金业协会完成私募基金管理人登记三年以上，已有私募股权投资基金产品在中国证券投资基金业协会完成备案。</w:t>
      </w:r>
    </w:p>
    <w:p w:rsidR="00900EB6" w:rsidRPr="00900EB6" w:rsidRDefault="00AD0A97">
      <w:pPr>
        <w:pStyle w:val="a8"/>
        <w:shd w:val="clear" w:color="auto" w:fill="FFFFFF"/>
        <w:spacing w:before="0" w:beforeAutospacing="0" w:after="0" w:afterAutospacing="0" w:line="560" w:lineRule="exact"/>
        <w:ind w:firstLine="640"/>
        <w:jc w:val="both"/>
        <w:rPr>
          <w:rFonts w:ascii="Times New Roman" w:eastAsia="仿宋_GB2312" w:hAnsi="Times New Roman" w:cs="Times New Roman"/>
          <w:sz w:val="32"/>
          <w:szCs w:val="32"/>
        </w:rPr>
      </w:pPr>
      <w:r>
        <w:rPr>
          <w:rFonts w:ascii="楷体_GB2312" w:eastAsia="楷体_GB2312" w:hAnsi="楷体_GB2312" w:cs="楷体_GB2312" w:hint="eastAsia"/>
          <w:sz w:val="32"/>
          <w:szCs w:val="32"/>
        </w:rPr>
        <w:t>（二）</w:t>
      </w:r>
      <w:r>
        <w:rPr>
          <w:rFonts w:ascii="Times New Roman" w:eastAsia="仿宋_GB2312" w:hAnsi="Times New Roman" w:cs="Times New Roman"/>
          <w:sz w:val="32"/>
          <w:szCs w:val="32"/>
        </w:rPr>
        <w:t>基金管理人实际在</w:t>
      </w:r>
      <w:r>
        <w:rPr>
          <w:rFonts w:ascii="Times New Roman" w:eastAsia="仿宋_GB2312" w:hAnsi="Times New Roman" w:cs="Times New Roman" w:hint="eastAsia"/>
          <w:sz w:val="32"/>
          <w:szCs w:val="32"/>
        </w:rPr>
        <w:t>管</w:t>
      </w:r>
      <w:r>
        <w:rPr>
          <w:rFonts w:ascii="Times New Roman" w:eastAsia="仿宋_GB2312" w:hAnsi="Times New Roman" w:cs="Times New Roman"/>
          <w:sz w:val="32"/>
          <w:szCs w:val="32"/>
        </w:rPr>
        <w:t>政府产业基金不低于</w:t>
      </w:r>
      <w:r>
        <w:rPr>
          <w:rFonts w:ascii="Times New Roman" w:eastAsia="仿宋_GB2312" w:hAnsi="Times New Roman" w:cs="Times New Roman" w:hint="eastAsia"/>
          <w:sz w:val="32"/>
          <w:szCs w:val="32"/>
        </w:rPr>
        <w:t>一支</w:t>
      </w:r>
      <w:r>
        <w:rPr>
          <w:rFonts w:ascii="Times New Roman" w:eastAsia="仿宋_GB2312" w:hAnsi="Times New Roman" w:cs="Times New Roman"/>
          <w:sz w:val="32"/>
          <w:szCs w:val="32"/>
        </w:rPr>
        <w:t>。基金管理人实际在管的基金需有不低于</w:t>
      </w:r>
      <w:r>
        <w:rPr>
          <w:rFonts w:ascii="Times New Roman" w:eastAsia="仿宋_GB2312" w:hAnsi="Times New Roman" w:cs="Times New Roman" w:hint="eastAsia"/>
          <w:sz w:val="32"/>
          <w:szCs w:val="32"/>
        </w:rPr>
        <w:t>一个</w:t>
      </w:r>
      <w:r>
        <w:rPr>
          <w:rFonts w:ascii="Times New Roman" w:eastAsia="仿宋_GB2312" w:hAnsi="Times New Roman" w:cs="Times New Roman"/>
          <w:sz w:val="32"/>
          <w:szCs w:val="32"/>
        </w:rPr>
        <w:t>项目完成退出，且取得较好的投资收益。</w:t>
      </w:r>
    </w:p>
    <w:p w:rsidR="00900EB6" w:rsidRDefault="00AD0A97">
      <w:pPr>
        <w:pStyle w:val="a8"/>
        <w:shd w:val="clear" w:color="auto" w:fill="FFFFFF"/>
        <w:spacing w:before="0" w:beforeAutospacing="0" w:after="0" w:afterAutospacing="0" w:line="560" w:lineRule="exact"/>
        <w:ind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（三）</w:t>
      </w:r>
      <w:r>
        <w:rPr>
          <w:rFonts w:ascii="Times New Roman" w:eastAsia="仿宋_GB2312" w:hAnsi="Times New Roman" w:cs="Times New Roman"/>
          <w:sz w:val="32"/>
          <w:szCs w:val="32"/>
        </w:rPr>
        <w:t>管理团队实际</w:t>
      </w:r>
      <w:r>
        <w:rPr>
          <w:rFonts w:ascii="Times New Roman" w:eastAsia="仿宋_GB2312" w:hAnsi="Times New Roman" w:cs="Times New Roman" w:hint="eastAsia"/>
          <w:sz w:val="32"/>
          <w:szCs w:val="32"/>
        </w:rPr>
        <w:t>主导或管理基金投资项目实现项目成功退出或</w:t>
      </w:r>
      <w:r>
        <w:rPr>
          <w:rFonts w:ascii="Times New Roman" w:eastAsia="仿宋_GB2312" w:hAnsi="Times New Roman" w:cs="Times New Roman" w:hint="eastAsia"/>
          <w:sz w:val="32"/>
          <w:szCs w:val="32"/>
        </w:rPr>
        <w:t>IPO</w:t>
      </w:r>
      <w:r>
        <w:rPr>
          <w:rFonts w:ascii="Times New Roman" w:eastAsia="仿宋_GB2312" w:hAnsi="Times New Roman" w:cs="Times New Roman" w:hint="eastAsia"/>
          <w:sz w:val="32"/>
          <w:szCs w:val="32"/>
        </w:rPr>
        <w:t>成功上市的不低于一个。</w:t>
      </w:r>
    </w:p>
    <w:p w:rsidR="00900EB6" w:rsidRDefault="00AD0A97">
      <w:pPr>
        <w:pStyle w:val="a8"/>
        <w:shd w:val="clear" w:color="auto" w:fill="FFFFFF"/>
        <w:spacing w:before="0" w:beforeAutospacing="0" w:after="0" w:afterAutospacing="0" w:line="560" w:lineRule="exact"/>
        <w:ind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（四）</w:t>
      </w:r>
      <w:r>
        <w:rPr>
          <w:rFonts w:ascii="Times New Roman" w:eastAsia="仿宋_GB2312" w:hAnsi="Times New Roman" w:cs="Times New Roman"/>
          <w:sz w:val="32"/>
          <w:szCs w:val="32"/>
        </w:rPr>
        <w:t>有与院士、国家千人计划高层次人才、知名科学家等行业专家成功合作案例。</w:t>
      </w:r>
    </w:p>
    <w:p w:rsidR="00900EB6" w:rsidRDefault="00AD0A97">
      <w:pPr>
        <w:pStyle w:val="a8"/>
        <w:shd w:val="clear" w:color="auto" w:fill="FFFFFF"/>
        <w:spacing w:before="0" w:beforeAutospacing="0" w:after="0" w:afterAutospacing="0" w:line="560" w:lineRule="exact"/>
        <w:ind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（五）</w:t>
      </w:r>
      <w:r>
        <w:rPr>
          <w:rFonts w:ascii="Times New Roman" w:eastAsia="仿宋_GB2312" w:hAnsi="Times New Roman" w:cs="Times New Roman"/>
          <w:sz w:val="32"/>
          <w:szCs w:val="32"/>
        </w:rPr>
        <w:t>具备智能制造、</w:t>
      </w:r>
      <w:r w:rsidR="00B1609D">
        <w:rPr>
          <w:rFonts w:ascii="Times New Roman" w:eastAsia="仿宋_GB2312" w:hAnsi="Times New Roman" w:cs="Times New Roman" w:hint="eastAsia"/>
          <w:sz w:val="32"/>
          <w:szCs w:val="32"/>
        </w:rPr>
        <w:t>新材料、新能源</w:t>
      </w:r>
      <w:r>
        <w:rPr>
          <w:rFonts w:ascii="Times New Roman" w:eastAsia="仿宋_GB2312" w:hAnsi="Times New Roman" w:cs="Times New Roman"/>
          <w:sz w:val="32"/>
          <w:szCs w:val="32"/>
        </w:rPr>
        <w:t>专业技术背景，且能带动相关产业落地，帮助地方政府打造产业集群，提升产业能级。</w:t>
      </w:r>
    </w:p>
    <w:bookmarkEnd w:id="5"/>
    <w:p w:rsidR="00900EB6" w:rsidRDefault="00AD0A97">
      <w:pPr>
        <w:pStyle w:val="a8"/>
        <w:numPr>
          <w:ilvl w:val="0"/>
          <w:numId w:val="1"/>
        </w:numPr>
        <w:shd w:val="clear" w:color="auto" w:fill="FFFFFF"/>
        <w:spacing w:before="0" w:beforeAutospacing="0" w:after="0" w:afterAutospacing="0" w:line="560" w:lineRule="exact"/>
        <w:ind w:firstLineChars="200" w:firstLine="640"/>
        <w:jc w:val="both"/>
        <w:outlineLvl w:val="0"/>
        <w:rPr>
          <w:rFonts w:ascii="Times New Roman" w:eastAsia="黑体" w:hAnsi="Times New Roman" w:cs="Times New Roman"/>
          <w:bCs/>
          <w:sz w:val="32"/>
          <w:szCs w:val="32"/>
        </w:rPr>
      </w:pPr>
      <w:r>
        <w:rPr>
          <w:rFonts w:ascii="Times New Roman" w:eastAsia="黑体" w:hAnsi="Times New Roman" w:cs="Times New Roman"/>
          <w:bCs/>
          <w:sz w:val="32"/>
          <w:szCs w:val="32"/>
        </w:rPr>
        <w:t>比选程序</w:t>
      </w:r>
    </w:p>
    <w:p w:rsidR="00900EB6" w:rsidRDefault="00AD0A97">
      <w:pPr>
        <w:pStyle w:val="a8"/>
        <w:shd w:val="clear" w:color="auto" w:fill="FFFFFF"/>
        <w:spacing w:before="0" w:beforeAutospacing="0" w:after="0" w:afterAutospacing="0" w:line="56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比选公告、报送材料、</w:t>
      </w:r>
      <w:r w:rsidR="00241E17">
        <w:rPr>
          <w:rFonts w:ascii="Times New Roman" w:eastAsia="仿宋_GB2312" w:hAnsi="Times New Roman" w:cs="Times New Roman" w:hint="eastAsia"/>
          <w:sz w:val="32"/>
          <w:szCs w:val="32"/>
        </w:rPr>
        <w:t>专家</w:t>
      </w:r>
      <w:r>
        <w:rPr>
          <w:rFonts w:ascii="Times New Roman" w:eastAsia="仿宋_GB2312" w:hAnsi="Times New Roman" w:cs="Times New Roman"/>
          <w:sz w:val="32"/>
          <w:szCs w:val="32"/>
        </w:rPr>
        <w:t>评审、结果公示</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的流程进行。</w:t>
      </w:r>
    </w:p>
    <w:p w:rsidR="00900EB6" w:rsidRDefault="00AD0A97">
      <w:pPr>
        <w:spacing w:line="560" w:lineRule="exact"/>
        <w:ind w:firstLineChars="200" w:firstLine="643"/>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（一）比选公告</w:t>
      </w:r>
    </w:p>
    <w:p w:rsidR="00900EB6" w:rsidRDefault="00AD0A97">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本公告在</w:t>
      </w:r>
      <w:r>
        <w:rPr>
          <w:rFonts w:ascii="Times New Roman" w:eastAsia="仿宋_GB2312" w:hAnsi="Times New Roman" w:cs="Times New Roman" w:hint="eastAsia"/>
          <w:sz w:val="32"/>
          <w:szCs w:val="32"/>
        </w:rPr>
        <w:t>博望区</w:t>
      </w:r>
      <w:r>
        <w:rPr>
          <w:rFonts w:ascii="Times New Roman" w:eastAsia="仿宋_GB2312" w:hAnsi="Times New Roman" w:cs="Times New Roman"/>
          <w:sz w:val="32"/>
          <w:szCs w:val="32"/>
        </w:rPr>
        <w:t>人民政府官方网站</w:t>
      </w:r>
      <w:r w:rsidR="006146D3">
        <w:rPr>
          <w:rFonts w:ascii="Times New Roman" w:eastAsia="仿宋_GB2312" w:hAnsi="Times New Roman" w:cs="Times New Roman" w:hint="eastAsia"/>
          <w:sz w:val="32"/>
          <w:szCs w:val="32"/>
        </w:rPr>
        <w:t>、安徽横望控股集团有限公司官方网站</w:t>
      </w:r>
      <w:r>
        <w:rPr>
          <w:rFonts w:ascii="Times New Roman" w:eastAsia="仿宋_GB2312" w:hAnsi="Times New Roman" w:cs="Times New Roman"/>
          <w:kern w:val="0"/>
          <w:sz w:val="32"/>
          <w:szCs w:val="32"/>
        </w:rPr>
        <w:t>公告，公告期</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天</w:t>
      </w:r>
      <w:r w:rsidR="00034564">
        <w:rPr>
          <w:rFonts w:ascii="Times New Roman" w:eastAsia="仿宋_GB2312" w:hAnsi="Times New Roman" w:cs="Times New Roman"/>
          <w:kern w:val="0"/>
          <w:sz w:val="32"/>
          <w:szCs w:val="32"/>
        </w:rPr>
        <w:t>（如符合条件的申报单位不足</w:t>
      </w:r>
      <w:r w:rsidR="00034564">
        <w:rPr>
          <w:rFonts w:ascii="Times New Roman" w:eastAsia="仿宋_GB2312" w:hAnsi="Times New Roman" w:cs="Times New Roman"/>
          <w:kern w:val="0"/>
          <w:sz w:val="32"/>
          <w:szCs w:val="32"/>
        </w:rPr>
        <w:t>3</w:t>
      </w:r>
      <w:r w:rsidR="00034564">
        <w:rPr>
          <w:rFonts w:ascii="Times New Roman" w:eastAsia="仿宋_GB2312" w:hAnsi="Times New Roman" w:cs="Times New Roman"/>
          <w:kern w:val="0"/>
          <w:sz w:val="32"/>
          <w:szCs w:val="32"/>
        </w:rPr>
        <w:t>家，则延长报送期，至满足</w:t>
      </w:r>
      <w:r w:rsidR="00034564">
        <w:rPr>
          <w:rFonts w:ascii="Times New Roman" w:eastAsia="仿宋_GB2312" w:hAnsi="Times New Roman" w:cs="Times New Roman"/>
          <w:kern w:val="0"/>
          <w:sz w:val="32"/>
          <w:szCs w:val="32"/>
        </w:rPr>
        <w:t>3</w:t>
      </w:r>
      <w:r w:rsidR="00034564">
        <w:rPr>
          <w:rFonts w:ascii="Times New Roman" w:eastAsia="仿宋_GB2312" w:hAnsi="Times New Roman" w:cs="Times New Roman"/>
          <w:kern w:val="0"/>
          <w:sz w:val="32"/>
          <w:szCs w:val="32"/>
        </w:rPr>
        <w:t>家为止）</w:t>
      </w:r>
      <w:r>
        <w:rPr>
          <w:rFonts w:ascii="Times New Roman" w:eastAsia="仿宋_GB2312" w:hAnsi="Times New Roman" w:cs="Times New Roman"/>
          <w:kern w:val="0"/>
          <w:sz w:val="32"/>
          <w:szCs w:val="32"/>
        </w:rPr>
        <w:t>。</w:t>
      </w:r>
    </w:p>
    <w:p w:rsidR="00900EB6" w:rsidRDefault="00AD0A97">
      <w:pPr>
        <w:spacing w:line="560" w:lineRule="exact"/>
        <w:ind w:firstLineChars="200" w:firstLine="643"/>
        <w:outlineLvl w:val="1"/>
        <w:rPr>
          <w:rFonts w:ascii="Times New Roman" w:eastAsia="楷体" w:hAnsi="Times New Roman" w:cs="Times New Roman"/>
          <w:b/>
          <w:kern w:val="0"/>
          <w:sz w:val="32"/>
          <w:szCs w:val="32"/>
        </w:rPr>
      </w:pPr>
      <w:r>
        <w:rPr>
          <w:rFonts w:ascii="Times New Roman" w:eastAsia="楷体" w:hAnsi="Times New Roman" w:cs="Times New Roman"/>
          <w:b/>
          <w:kern w:val="0"/>
          <w:sz w:val="32"/>
          <w:szCs w:val="32"/>
        </w:rPr>
        <w:t>（二）报送材料</w:t>
      </w:r>
    </w:p>
    <w:p w:rsidR="00900EB6" w:rsidRDefault="00AD0A97">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报送材料（详见附件</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、附件</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）。符合条件且有意向的应聘机构应在公告期结束后</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日内，向</w:t>
      </w:r>
      <w:r>
        <w:rPr>
          <w:rFonts w:ascii="Times New Roman" w:eastAsia="仿宋_GB2312" w:hAnsi="Times New Roman" w:cs="Times New Roman" w:hint="eastAsia"/>
          <w:kern w:val="0"/>
          <w:sz w:val="32"/>
          <w:szCs w:val="32"/>
        </w:rPr>
        <w:t>兴博投资</w:t>
      </w:r>
      <w:r>
        <w:rPr>
          <w:rFonts w:ascii="Times New Roman" w:eastAsia="仿宋_GB2312" w:hAnsi="Times New Roman" w:cs="Times New Roman"/>
          <w:kern w:val="0"/>
          <w:sz w:val="32"/>
          <w:szCs w:val="32"/>
        </w:rPr>
        <w:t>公司提交相关材料。</w:t>
      </w:r>
    </w:p>
    <w:p w:rsidR="00900EB6" w:rsidRDefault="00AD0A97">
      <w:pPr>
        <w:spacing w:line="560" w:lineRule="exact"/>
        <w:ind w:firstLineChars="200" w:firstLine="643"/>
        <w:outlineLvl w:val="1"/>
        <w:rPr>
          <w:rFonts w:ascii="Times New Roman" w:eastAsia="楷体" w:hAnsi="Times New Roman" w:cs="Times New Roman"/>
          <w:b/>
          <w:kern w:val="0"/>
          <w:sz w:val="32"/>
          <w:szCs w:val="32"/>
        </w:rPr>
      </w:pPr>
      <w:r>
        <w:rPr>
          <w:rFonts w:ascii="Times New Roman" w:eastAsia="楷体" w:hAnsi="Times New Roman" w:cs="Times New Roman"/>
          <w:b/>
          <w:kern w:val="0"/>
          <w:sz w:val="32"/>
          <w:szCs w:val="32"/>
        </w:rPr>
        <w:t>（</w:t>
      </w:r>
      <w:r w:rsidR="00795E9B">
        <w:rPr>
          <w:rFonts w:ascii="Times New Roman" w:eastAsia="楷体" w:hAnsi="Times New Roman" w:cs="Times New Roman" w:hint="eastAsia"/>
          <w:b/>
          <w:kern w:val="0"/>
          <w:sz w:val="32"/>
          <w:szCs w:val="32"/>
        </w:rPr>
        <w:t>三</w:t>
      </w:r>
      <w:r>
        <w:rPr>
          <w:rFonts w:ascii="Times New Roman" w:eastAsia="楷体" w:hAnsi="Times New Roman" w:cs="Times New Roman"/>
          <w:b/>
          <w:kern w:val="0"/>
          <w:sz w:val="32"/>
          <w:szCs w:val="32"/>
        </w:rPr>
        <w:t>）</w:t>
      </w:r>
      <w:r w:rsidR="00795E9B">
        <w:rPr>
          <w:rFonts w:ascii="Times New Roman" w:eastAsia="楷体" w:hAnsi="Times New Roman" w:cs="Times New Roman" w:hint="eastAsia"/>
          <w:b/>
          <w:kern w:val="0"/>
          <w:sz w:val="32"/>
          <w:szCs w:val="32"/>
        </w:rPr>
        <w:t>专家</w:t>
      </w:r>
      <w:r>
        <w:rPr>
          <w:rFonts w:ascii="Times New Roman" w:eastAsia="楷体" w:hAnsi="Times New Roman" w:cs="Times New Roman"/>
          <w:b/>
          <w:kern w:val="0"/>
          <w:sz w:val="32"/>
          <w:szCs w:val="32"/>
        </w:rPr>
        <w:t>评审</w:t>
      </w:r>
    </w:p>
    <w:p w:rsidR="00900EB6" w:rsidRDefault="00AD0A97">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兴博投资</w:t>
      </w:r>
      <w:r>
        <w:rPr>
          <w:rFonts w:ascii="Times New Roman" w:eastAsia="仿宋_GB2312" w:hAnsi="Times New Roman" w:cs="Times New Roman"/>
          <w:kern w:val="0"/>
          <w:sz w:val="32"/>
          <w:szCs w:val="32"/>
        </w:rPr>
        <w:t>公司召集评审委员会，对</w:t>
      </w:r>
      <w:r w:rsidR="009B7801">
        <w:rPr>
          <w:rFonts w:ascii="Times New Roman" w:eastAsia="仿宋_GB2312" w:hAnsi="Times New Roman" w:cs="Times New Roman" w:hint="eastAsia"/>
          <w:kern w:val="0"/>
          <w:sz w:val="32"/>
          <w:szCs w:val="32"/>
        </w:rPr>
        <w:t>报名</w:t>
      </w:r>
      <w:r>
        <w:rPr>
          <w:rFonts w:ascii="Times New Roman" w:eastAsia="仿宋_GB2312" w:hAnsi="Times New Roman" w:cs="Times New Roman"/>
          <w:kern w:val="0"/>
          <w:sz w:val="32"/>
          <w:szCs w:val="32"/>
        </w:rPr>
        <w:t>的申报机构进行</w:t>
      </w:r>
      <w:r w:rsidR="00C812D8">
        <w:rPr>
          <w:rFonts w:ascii="Times New Roman" w:eastAsia="仿宋_GB2312" w:hAnsi="Times New Roman" w:cs="Times New Roman" w:hint="eastAsia"/>
          <w:kern w:val="0"/>
          <w:sz w:val="32"/>
          <w:szCs w:val="32"/>
        </w:rPr>
        <w:t>集中</w:t>
      </w:r>
      <w:r>
        <w:rPr>
          <w:rFonts w:ascii="Times New Roman" w:eastAsia="仿宋_GB2312" w:hAnsi="Times New Roman" w:cs="Times New Roman"/>
          <w:kern w:val="0"/>
          <w:sz w:val="32"/>
          <w:szCs w:val="32"/>
        </w:rPr>
        <w:t>评审。评委基于申报机构的申报材料，按一定的评选标准进行评价，按综合得分进行排名（评分细则见附件</w:t>
      </w:r>
      <w:r>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）。由评审委员会根据评审得分情况给出基金管理人候选机构名单建议。</w:t>
      </w:r>
    </w:p>
    <w:p w:rsidR="00900EB6" w:rsidRDefault="00AD0A97">
      <w:pPr>
        <w:spacing w:line="560" w:lineRule="exact"/>
        <w:ind w:firstLineChars="200" w:firstLine="643"/>
        <w:outlineLvl w:val="1"/>
        <w:rPr>
          <w:rFonts w:ascii="Times New Roman" w:eastAsia="楷体" w:hAnsi="Times New Roman" w:cs="Times New Roman"/>
          <w:b/>
          <w:kern w:val="0"/>
          <w:sz w:val="32"/>
          <w:szCs w:val="32"/>
        </w:rPr>
      </w:pPr>
      <w:r>
        <w:rPr>
          <w:rFonts w:ascii="Times New Roman" w:eastAsia="楷体" w:hAnsi="Times New Roman" w:cs="Times New Roman"/>
          <w:b/>
          <w:kern w:val="0"/>
          <w:sz w:val="32"/>
          <w:szCs w:val="32"/>
        </w:rPr>
        <w:t>（</w:t>
      </w:r>
      <w:r w:rsidR="00874DDC">
        <w:rPr>
          <w:rFonts w:ascii="Times New Roman" w:eastAsia="楷体" w:hAnsi="Times New Roman" w:cs="Times New Roman" w:hint="eastAsia"/>
          <w:b/>
          <w:kern w:val="0"/>
          <w:sz w:val="32"/>
          <w:szCs w:val="32"/>
        </w:rPr>
        <w:t>四</w:t>
      </w:r>
      <w:r>
        <w:rPr>
          <w:rFonts w:ascii="Times New Roman" w:eastAsia="楷体" w:hAnsi="Times New Roman" w:cs="Times New Roman"/>
          <w:b/>
          <w:kern w:val="0"/>
          <w:sz w:val="32"/>
          <w:szCs w:val="32"/>
        </w:rPr>
        <w:t>）结果公示</w:t>
      </w:r>
    </w:p>
    <w:p w:rsidR="00900EB6" w:rsidRDefault="00AD0A97">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比选出的基金管理人机构名单</w:t>
      </w:r>
      <w:r w:rsidR="00B96848">
        <w:rPr>
          <w:rFonts w:ascii="Times New Roman" w:eastAsia="仿宋_GB2312" w:hAnsi="Times New Roman" w:cs="Times New Roman" w:hint="eastAsia"/>
          <w:kern w:val="0"/>
          <w:sz w:val="32"/>
          <w:szCs w:val="32"/>
        </w:rPr>
        <w:t>将</w:t>
      </w:r>
      <w:r>
        <w:rPr>
          <w:rFonts w:ascii="Times New Roman" w:eastAsia="仿宋_GB2312" w:hAnsi="Times New Roman" w:cs="Times New Roman"/>
          <w:kern w:val="0"/>
          <w:sz w:val="32"/>
          <w:szCs w:val="32"/>
        </w:rPr>
        <w:t>向社会进行公示，公示期为</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个工作日。公示有异议的，启动相关调查程序。公示期满无异议的确定为基金管理机构。</w:t>
      </w:r>
    </w:p>
    <w:p w:rsidR="00900EB6" w:rsidRDefault="00AD0A97">
      <w:pPr>
        <w:pStyle w:val="a8"/>
        <w:numPr>
          <w:ilvl w:val="0"/>
          <w:numId w:val="1"/>
        </w:numPr>
        <w:shd w:val="clear" w:color="auto" w:fill="FFFFFF"/>
        <w:spacing w:before="0" w:beforeAutospacing="0" w:after="0" w:afterAutospacing="0" w:line="560" w:lineRule="exact"/>
        <w:ind w:firstLineChars="200" w:firstLine="640"/>
        <w:jc w:val="both"/>
        <w:outlineLvl w:val="0"/>
        <w:rPr>
          <w:rFonts w:ascii="Times New Roman" w:eastAsia="黑体" w:hAnsi="Times New Roman" w:cs="Times New Roman"/>
          <w:bCs/>
          <w:sz w:val="32"/>
          <w:szCs w:val="32"/>
        </w:rPr>
      </w:pPr>
      <w:r>
        <w:rPr>
          <w:rFonts w:ascii="Times New Roman" w:eastAsia="黑体" w:hAnsi="Times New Roman" w:cs="Times New Roman"/>
          <w:bCs/>
          <w:sz w:val="32"/>
          <w:szCs w:val="32"/>
        </w:rPr>
        <w:t>其他事项</w:t>
      </w:r>
    </w:p>
    <w:p w:rsidR="00900EB6" w:rsidRDefault="00AD0A97">
      <w:pPr>
        <w:pStyle w:val="a8"/>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（一）</w:t>
      </w:r>
      <w:r>
        <w:rPr>
          <w:rFonts w:ascii="Times New Roman" w:eastAsia="仿宋_GB2312" w:hAnsi="Times New Roman" w:cs="Times New Roman"/>
          <w:sz w:val="32"/>
          <w:szCs w:val="32"/>
        </w:rPr>
        <w:t>申报机构应当据实报送有关材料，对于提供虚假材料的申报机构，将取消其资格。</w:t>
      </w:r>
    </w:p>
    <w:p w:rsidR="00900EB6" w:rsidRDefault="00AD0A97">
      <w:pPr>
        <w:pStyle w:val="a8"/>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（二）</w:t>
      </w:r>
      <w:r>
        <w:rPr>
          <w:rFonts w:ascii="Times New Roman" w:eastAsia="仿宋_GB2312" w:hAnsi="Times New Roman" w:cs="Times New Roman"/>
          <w:sz w:val="32"/>
          <w:szCs w:val="32"/>
        </w:rPr>
        <w:t>本次申报收取的材料不做退回处理。</w:t>
      </w:r>
    </w:p>
    <w:p w:rsidR="00900EB6" w:rsidRDefault="00AD0A97">
      <w:pPr>
        <w:pStyle w:val="a8"/>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lastRenderedPageBreak/>
        <w:t>（三）</w:t>
      </w:r>
      <w:r>
        <w:rPr>
          <w:rFonts w:ascii="Times New Roman" w:eastAsia="仿宋_GB2312" w:hAnsi="Times New Roman" w:cs="Times New Roman"/>
          <w:sz w:val="32"/>
          <w:szCs w:val="32"/>
        </w:rPr>
        <w:t>本公告仅是一种邀请行为，最终以基金合伙协议为准。</w:t>
      </w:r>
    </w:p>
    <w:p w:rsidR="00900EB6" w:rsidRDefault="00AD0A97">
      <w:pPr>
        <w:pStyle w:val="a8"/>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（四）</w:t>
      </w:r>
      <w:r>
        <w:rPr>
          <w:rFonts w:ascii="Times New Roman" w:eastAsia="仿宋_GB2312" w:hAnsi="Times New Roman" w:cs="Times New Roman" w:hint="eastAsia"/>
          <w:sz w:val="32"/>
          <w:szCs w:val="32"/>
        </w:rPr>
        <w:t>马鞍山市兴博产业投资</w:t>
      </w:r>
      <w:r>
        <w:rPr>
          <w:rFonts w:ascii="Times New Roman" w:eastAsia="仿宋_GB2312" w:hAnsi="Times New Roman" w:cs="Times New Roman"/>
          <w:sz w:val="32"/>
          <w:szCs w:val="32"/>
        </w:rPr>
        <w:t>有限公司对比选相关事项拥有最终解释权。</w:t>
      </w:r>
    </w:p>
    <w:p w:rsidR="00900EB6" w:rsidRDefault="00AD0A97">
      <w:pPr>
        <w:pStyle w:val="a8"/>
        <w:numPr>
          <w:ilvl w:val="0"/>
          <w:numId w:val="1"/>
        </w:numPr>
        <w:shd w:val="clear" w:color="auto" w:fill="FFFFFF"/>
        <w:spacing w:before="0" w:beforeAutospacing="0" w:after="0" w:afterAutospacing="0" w:line="560" w:lineRule="exact"/>
        <w:ind w:firstLineChars="200" w:firstLine="640"/>
        <w:jc w:val="both"/>
        <w:outlineLvl w:val="0"/>
        <w:rPr>
          <w:rFonts w:ascii="Times New Roman" w:eastAsia="黑体" w:hAnsi="Times New Roman" w:cs="Times New Roman"/>
          <w:bCs/>
          <w:sz w:val="32"/>
          <w:szCs w:val="32"/>
        </w:rPr>
      </w:pPr>
      <w:r>
        <w:rPr>
          <w:rFonts w:ascii="Times New Roman" w:eastAsia="黑体" w:hAnsi="Times New Roman" w:cs="Times New Roman"/>
          <w:bCs/>
          <w:sz w:val="32"/>
          <w:szCs w:val="32"/>
        </w:rPr>
        <w:t>联系方式</w:t>
      </w:r>
    </w:p>
    <w:p w:rsidR="00900EB6" w:rsidRDefault="00AD0A97">
      <w:pPr>
        <w:pStyle w:val="a8"/>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符合条件且有意向的应聘机构请在公告期结束后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日内，向</w:t>
      </w:r>
      <w:r>
        <w:rPr>
          <w:rFonts w:ascii="Times New Roman" w:eastAsia="仿宋_GB2312" w:hAnsi="Times New Roman" w:cs="Times New Roman" w:hint="eastAsia"/>
          <w:sz w:val="32"/>
          <w:szCs w:val="32"/>
        </w:rPr>
        <w:t>马鞍山市兴博产业投资</w:t>
      </w:r>
      <w:r>
        <w:rPr>
          <w:rFonts w:ascii="Times New Roman" w:eastAsia="仿宋_GB2312" w:hAnsi="Times New Roman" w:cs="Times New Roman"/>
          <w:sz w:val="32"/>
          <w:szCs w:val="32"/>
        </w:rPr>
        <w:t>有限公司报送相关材料。申报材料请按照</w:t>
      </w:r>
      <w:r>
        <w:rPr>
          <w:rFonts w:ascii="Times New Roman" w:eastAsia="仿宋_GB2312" w:hAnsi="Times New Roman" w:cs="Times New Roman"/>
          <w:sz w:val="32"/>
          <w:szCs w:val="32"/>
        </w:rPr>
        <w:t>A4</w:t>
      </w:r>
      <w:r>
        <w:rPr>
          <w:rFonts w:ascii="Times New Roman" w:eastAsia="仿宋_GB2312" w:hAnsi="Times New Roman" w:cs="Times New Roman"/>
          <w:sz w:val="32"/>
          <w:szCs w:val="32"/>
        </w:rPr>
        <w:t>纸张格式装订成册并加盖公章，一式九份（一份正本，八份副本），其中正本必须注明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正本</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字样，正、副本内容必须保持一致，副本可以用复印件。若正本和副本、电子版本不符，以正本为准。相关联系信息如下：</w:t>
      </w:r>
    </w:p>
    <w:p w:rsidR="00900EB6" w:rsidRDefault="00AD0A97">
      <w:pPr>
        <w:pStyle w:val="a8"/>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联系人：</w:t>
      </w:r>
      <w:r>
        <w:rPr>
          <w:rFonts w:ascii="Times New Roman" w:eastAsia="仿宋_GB2312" w:hAnsi="Times New Roman" w:cs="Times New Roman" w:hint="eastAsia"/>
          <w:sz w:val="32"/>
          <w:szCs w:val="32"/>
        </w:rPr>
        <w:t>庾卫</w:t>
      </w:r>
    </w:p>
    <w:p w:rsidR="00900EB6" w:rsidRDefault="00AD0A97">
      <w:pPr>
        <w:pStyle w:val="a8"/>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联系电话</w:t>
      </w:r>
      <w:r>
        <w:rPr>
          <w:rFonts w:ascii="Times New Roman" w:eastAsia="仿宋_GB2312" w:hAnsi="Times New Roman" w:cs="Times New Roman" w:hint="eastAsia"/>
          <w:sz w:val="32"/>
          <w:szCs w:val="32"/>
        </w:rPr>
        <w:t>,0555-6766127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18955554228</w:t>
      </w:r>
    </w:p>
    <w:p w:rsidR="00900EB6" w:rsidRDefault="00AD0A97">
      <w:pPr>
        <w:pStyle w:val="a8"/>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电子邮箱：</w:t>
      </w:r>
      <w:r>
        <w:rPr>
          <w:rFonts w:ascii="Times New Roman" w:eastAsia="仿宋_GB2312" w:hAnsi="Times New Roman" w:cs="Times New Roman" w:hint="eastAsia"/>
          <w:sz w:val="32"/>
          <w:szCs w:val="32"/>
        </w:rPr>
        <w:t>670621028 @qq.com</w:t>
      </w:r>
    </w:p>
    <w:p w:rsidR="00900EB6" w:rsidRDefault="00AD0A97">
      <w:pPr>
        <w:pStyle w:val="a8"/>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材料寄送地址：</w:t>
      </w:r>
      <w:r>
        <w:rPr>
          <w:rFonts w:ascii="Times New Roman" w:eastAsia="仿宋_GB2312" w:hAnsi="Times New Roman" w:cs="Times New Roman" w:hint="eastAsia"/>
          <w:sz w:val="32"/>
          <w:szCs w:val="32"/>
        </w:rPr>
        <w:t>马鞍山市博望区名门世家</w:t>
      </w:r>
      <w:r>
        <w:rPr>
          <w:rFonts w:ascii="Times New Roman" w:eastAsia="仿宋_GB2312" w:hAnsi="Times New Roman" w:cs="Times New Roman" w:hint="eastAsia"/>
          <w:sz w:val="32"/>
          <w:szCs w:val="32"/>
        </w:rPr>
        <w:t>5-106</w:t>
      </w:r>
      <w:r>
        <w:rPr>
          <w:rFonts w:ascii="Times New Roman" w:eastAsia="仿宋_GB2312" w:hAnsi="Times New Roman" w:cs="Times New Roman" w:hint="eastAsia"/>
          <w:sz w:val="32"/>
          <w:szCs w:val="32"/>
        </w:rPr>
        <w:t>室</w:t>
      </w:r>
    </w:p>
    <w:p w:rsidR="00900EB6" w:rsidRDefault="00900EB6">
      <w:pPr>
        <w:spacing w:line="360" w:lineRule="auto"/>
        <w:jc w:val="left"/>
        <w:rPr>
          <w:rFonts w:ascii="黑体" w:eastAsia="黑体" w:hAnsi="黑体" w:cs="黑体"/>
          <w:sz w:val="30"/>
          <w:szCs w:val="30"/>
        </w:rPr>
        <w:sectPr w:rsidR="00900EB6">
          <w:footerReference w:type="default" r:id="rId8"/>
          <w:pgSz w:w="11906" w:h="16838"/>
          <w:pgMar w:top="1440" w:right="1627" w:bottom="1440" w:left="1627" w:header="1588" w:footer="851" w:gutter="0"/>
          <w:pgNumType w:fmt="numberInDash"/>
          <w:cols w:space="425"/>
          <w:docGrid w:type="lines" w:linePitch="312"/>
        </w:sectPr>
      </w:pPr>
    </w:p>
    <w:p w:rsidR="00900EB6" w:rsidRDefault="00AD0A97" w:rsidP="00900EB6">
      <w:pPr>
        <w:spacing w:line="360" w:lineRule="auto"/>
        <w:jc w:val="left"/>
        <w:rPr>
          <w:rFonts w:ascii="Times New Roman" w:eastAsia="仿宋_GB2312" w:hAnsi="Times New Roman" w:cs="Times New Roman"/>
          <w:sz w:val="30"/>
          <w:szCs w:val="30"/>
        </w:rPr>
      </w:pPr>
      <w:r>
        <w:rPr>
          <w:rFonts w:ascii="黑体" w:eastAsia="黑体" w:hAnsi="黑体" w:cs="黑体" w:hint="eastAsia"/>
          <w:sz w:val="30"/>
          <w:szCs w:val="30"/>
        </w:rPr>
        <w:lastRenderedPageBreak/>
        <w:t>附件1</w:t>
      </w:r>
    </w:p>
    <w:p w:rsidR="00900EB6" w:rsidRDefault="00AD0A97">
      <w:pPr>
        <w:adjustRightInd w:val="0"/>
        <w:spacing w:line="620" w:lineRule="exact"/>
        <w:jc w:val="center"/>
        <w:rPr>
          <w:rFonts w:ascii="Times New Roman" w:eastAsia="仿宋_GB2312" w:hAnsi="Times New Roman" w:cs="Times New Roman"/>
          <w:sz w:val="44"/>
          <w:szCs w:val="44"/>
        </w:rPr>
      </w:pPr>
      <w:r>
        <w:rPr>
          <w:rFonts w:ascii="方正小标宋_GBK" w:eastAsia="方正小标宋_GBK" w:hAnsi="方正小标宋_GBK" w:cs="方正小标宋_GBK" w:hint="eastAsia"/>
          <w:sz w:val="44"/>
          <w:szCs w:val="44"/>
        </w:rPr>
        <w:t>基础资料</w:t>
      </w:r>
    </w:p>
    <w:p w:rsidR="00900EB6" w:rsidRDefault="00AD0A97">
      <w:pPr>
        <w:adjustRightInd w:val="0"/>
        <w:spacing w:line="560" w:lineRule="exact"/>
        <w:ind w:firstLineChars="200" w:firstLine="600"/>
        <w:rPr>
          <w:rFonts w:ascii="Times New Roman" w:eastAsia="仿宋_GB2312" w:hAnsi="Times New Roman" w:cs="Times New Roman"/>
          <w:sz w:val="30"/>
          <w:szCs w:val="30"/>
        </w:rPr>
      </w:pPr>
      <w:r>
        <w:rPr>
          <w:rFonts w:ascii="黑体" w:eastAsia="黑体" w:hAnsi="黑体" w:cs="黑体" w:hint="eastAsia"/>
          <w:sz w:val="30"/>
          <w:szCs w:val="30"/>
        </w:rPr>
        <w:t>一、申报机构及相关基金管理资质证明文件复印件</w:t>
      </w:r>
    </w:p>
    <w:p w:rsidR="00900EB6" w:rsidRDefault="00AD0A97">
      <w:pPr>
        <w:adjustRightInd w:val="0"/>
        <w:spacing w:line="560" w:lineRule="exact"/>
        <w:ind w:firstLineChars="200" w:firstLine="600"/>
        <w:rPr>
          <w:rFonts w:ascii="黑体" w:eastAsia="黑体" w:hAnsi="黑体" w:cs="黑体"/>
          <w:sz w:val="30"/>
          <w:szCs w:val="30"/>
        </w:rPr>
      </w:pPr>
      <w:r>
        <w:rPr>
          <w:rFonts w:ascii="Times New Roman" w:eastAsia="仿宋_GB2312" w:hAnsi="Times New Roman" w:cs="Times New Roman"/>
          <w:sz w:val="30"/>
          <w:szCs w:val="30"/>
        </w:rPr>
        <w:t>营业执照副本、组织机构代码证、税务登记证、公司章程或合伙协议、私募基金管理人登记证明、固定办公场所的证明文件（房产证、租赁合同等）。</w:t>
      </w:r>
    </w:p>
    <w:p w:rsidR="00900EB6" w:rsidRDefault="00AD0A97">
      <w:pPr>
        <w:adjustRightInd w:val="0"/>
        <w:spacing w:line="560" w:lineRule="exact"/>
        <w:ind w:firstLineChars="200" w:firstLine="600"/>
        <w:rPr>
          <w:rFonts w:ascii="Times New Roman" w:eastAsia="仿宋_GB2312" w:hAnsi="Times New Roman" w:cs="Times New Roman"/>
          <w:sz w:val="30"/>
          <w:szCs w:val="30"/>
        </w:rPr>
      </w:pPr>
      <w:r>
        <w:rPr>
          <w:rFonts w:ascii="黑体" w:eastAsia="黑体" w:hAnsi="黑体" w:cs="黑体" w:hint="eastAsia"/>
          <w:sz w:val="30"/>
          <w:szCs w:val="30"/>
        </w:rPr>
        <w:t>二、申报机构简介</w:t>
      </w:r>
    </w:p>
    <w:p w:rsidR="00900EB6" w:rsidRDefault="00AD0A97">
      <w:pPr>
        <w:adjustRightInd w:val="0"/>
        <w:spacing w:line="560" w:lineRule="exact"/>
        <w:ind w:firstLineChars="200" w:firstLine="600"/>
        <w:rPr>
          <w:rFonts w:ascii="黑体" w:eastAsia="黑体" w:hAnsi="黑体" w:cs="黑体"/>
          <w:sz w:val="30"/>
          <w:szCs w:val="30"/>
        </w:rPr>
      </w:pPr>
      <w:r>
        <w:rPr>
          <w:rFonts w:ascii="Times New Roman" w:eastAsia="仿宋_GB2312" w:hAnsi="Times New Roman" w:cs="Times New Roman"/>
          <w:sz w:val="30"/>
          <w:szCs w:val="30"/>
        </w:rPr>
        <w:t>包括注册资本、历史沿革、股权结构、管理资金规模、组织结构、人员配置、机构内部制度文件（包括投资决策机制、风险控制机制、内部激励机制、投后管理与增值服务机制、关联交易等内部管理制度文件）等情况。</w:t>
      </w:r>
    </w:p>
    <w:p w:rsidR="00900EB6" w:rsidRDefault="00AD0A97">
      <w:pPr>
        <w:adjustRightInd w:val="0"/>
        <w:spacing w:line="560" w:lineRule="exact"/>
        <w:ind w:firstLineChars="200" w:firstLine="600"/>
        <w:rPr>
          <w:rFonts w:ascii="Times New Roman" w:eastAsia="仿宋_GB2312" w:hAnsi="Times New Roman" w:cs="Times New Roman"/>
          <w:sz w:val="30"/>
          <w:szCs w:val="30"/>
        </w:rPr>
      </w:pPr>
      <w:r>
        <w:rPr>
          <w:rFonts w:ascii="黑体" w:eastAsia="黑体" w:hAnsi="黑体" w:cs="黑体" w:hint="eastAsia"/>
          <w:sz w:val="30"/>
          <w:szCs w:val="30"/>
        </w:rPr>
        <w:t>三、申报机构主要管理人员简介</w:t>
      </w:r>
    </w:p>
    <w:p w:rsidR="00900EB6" w:rsidRDefault="00AD0A97">
      <w:pPr>
        <w:adjustRightInd w:val="0"/>
        <w:spacing w:line="560" w:lineRule="exact"/>
        <w:ind w:firstLineChars="200" w:firstLine="600"/>
        <w:rPr>
          <w:rFonts w:ascii="黑体" w:eastAsia="黑体" w:hAnsi="黑体" w:cs="黑体"/>
          <w:sz w:val="30"/>
          <w:szCs w:val="30"/>
        </w:rPr>
      </w:pPr>
      <w:r>
        <w:rPr>
          <w:rFonts w:ascii="Times New Roman" w:eastAsia="仿宋_GB2312" w:hAnsi="Times New Roman" w:cs="Times New Roman"/>
          <w:sz w:val="30"/>
          <w:szCs w:val="30"/>
        </w:rPr>
        <w:t>包括法定代表人、高级管理人员、主要专业技术人员简表。</w:t>
      </w:r>
    </w:p>
    <w:p w:rsidR="00900EB6" w:rsidRDefault="00AD0A97">
      <w:pPr>
        <w:adjustRightInd w:val="0"/>
        <w:spacing w:line="560" w:lineRule="exact"/>
        <w:ind w:firstLineChars="200" w:firstLine="600"/>
        <w:rPr>
          <w:rFonts w:ascii="Times New Roman" w:eastAsia="仿宋_GB2312" w:hAnsi="Times New Roman" w:cs="Times New Roman"/>
          <w:sz w:val="30"/>
          <w:szCs w:val="30"/>
        </w:rPr>
      </w:pPr>
      <w:r>
        <w:rPr>
          <w:rFonts w:ascii="黑体" w:eastAsia="黑体" w:hAnsi="黑体" w:cs="黑体" w:hint="eastAsia"/>
          <w:sz w:val="30"/>
          <w:szCs w:val="30"/>
        </w:rPr>
        <w:t>四、受托管理基金情况</w:t>
      </w:r>
    </w:p>
    <w:p w:rsidR="00900EB6" w:rsidRDefault="00AD0A97">
      <w:pPr>
        <w:adjustRightInd w:val="0"/>
        <w:spacing w:line="560" w:lineRule="exact"/>
        <w:ind w:firstLineChars="200" w:firstLine="600"/>
        <w:rPr>
          <w:rFonts w:ascii="黑体" w:eastAsia="黑体" w:hAnsi="黑体" w:cs="黑体"/>
          <w:sz w:val="30"/>
          <w:szCs w:val="30"/>
        </w:rPr>
      </w:pPr>
      <w:r>
        <w:rPr>
          <w:rFonts w:ascii="Times New Roman" w:eastAsia="仿宋_GB2312" w:hAnsi="Times New Roman" w:cs="Times New Roman"/>
          <w:sz w:val="30"/>
          <w:szCs w:val="30"/>
        </w:rPr>
        <w:t>历史上管理基金的投资偏好、投资类型、地域范围、行业、规模、阶段等；从事本基金管理的管理团队中核心成员以往和当前管理基金情况列表。</w:t>
      </w:r>
    </w:p>
    <w:p w:rsidR="00900EB6" w:rsidRDefault="00AD0A97">
      <w:pPr>
        <w:adjustRightInd w:val="0"/>
        <w:spacing w:line="560" w:lineRule="exact"/>
        <w:ind w:firstLineChars="200" w:firstLine="600"/>
        <w:rPr>
          <w:rFonts w:ascii="Times New Roman" w:eastAsia="仿宋_GB2312" w:hAnsi="Times New Roman" w:cs="Times New Roman"/>
          <w:sz w:val="30"/>
          <w:szCs w:val="30"/>
        </w:rPr>
      </w:pPr>
      <w:r>
        <w:rPr>
          <w:rFonts w:ascii="黑体" w:eastAsia="黑体" w:hAnsi="黑体" w:cs="黑体" w:hint="eastAsia"/>
          <w:sz w:val="30"/>
          <w:szCs w:val="30"/>
        </w:rPr>
        <w:t>五、有关诉讼、担保、其他或有风险事项说明</w:t>
      </w:r>
    </w:p>
    <w:p w:rsidR="00900EB6" w:rsidRDefault="00AD0A97">
      <w:pPr>
        <w:adjustRightInd w:val="0"/>
        <w:spacing w:line="560" w:lineRule="exact"/>
        <w:ind w:firstLineChars="200" w:firstLine="600"/>
        <w:rPr>
          <w:rFonts w:ascii="黑体" w:eastAsia="黑体" w:hAnsi="黑体" w:cs="黑体"/>
          <w:sz w:val="30"/>
          <w:szCs w:val="30"/>
        </w:rPr>
      </w:pPr>
      <w:r>
        <w:rPr>
          <w:rFonts w:ascii="Times New Roman" w:eastAsia="仿宋_GB2312" w:hAnsi="Times New Roman" w:cs="Times New Roman"/>
          <w:sz w:val="30"/>
          <w:szCs w:val="30"/>
        </w:rPr>
        <w:t>申报机构有关诉讼、担保、其他或有风险事项说明及文件。最近五年内申报机构及其工作人员无行政主管机构或司法机关处罚的不良记录的声明或承诺。</w:t>
      </w:r>
    </w:p>
    <w:p w:rsidR="00900EB6" w:rsidRDefault="00AD0A97">
      <w:pPr>
        <w:adjustRightInd w:val="0"/>
        <w:spacing w:line="560" w:lineRule="exact"/>
        <w:ind w:firstLineChars="200" w:firstLine="600"/>
        <w:rPr>
          <w:rFonts w:ascii="黑体" w:eastAsia="黑体" w:hAnsi="黑体" w:cs="黑体"/>
          <w:sz w:val="30"/>
          <w:szCs w:val="30"/>
        </w:rPr>
        <w:sectPr w:rsidR="00900EB6">
          <w:footerReference w:type="default" r:id="rId9"/>
          <w:pgSz w:w="11906" w:h="16838"/>
          <w:pgMar w:top="2098" w:right="1531" w:bottom="1985" w:left="1531" w:header="1588" w:footer="851" w:gutter="0"/>
          <w:pgNumType w:fmt="numberInDash"/>
          <w:cols w:space="425"/>
          <w:docGrid w:type="lines" w:linePitch="312"/>
        </w:sectPr>
      </w:pPr>
      <w:r>
        <w:rPr>
          <w:rFonts w:ascii="黑体" w:eastAsia="黑体" w:hAnsi="黑体" w:cs="黑体" w:hint="eastAsia"/>
          <w:sz w:val="30"/>
          <w:szCs w:val="30"/>
        </w:rPr>
        <w:t>六、其他需说明事项</w:t>
      </w:r>
    </w:p>
    <w:p w:rsidR="00900EB6" w:rsidRDefault="00AD0A97" w:rsidP="00900EB6">
      <w:pPr>
        <w:spacing w:line="560" w:lineRule="exact"/>
        <w:jc w:val="left"/>
        <w:rPr>
          <w:rFonts w:ascii="Times New Roman" w:eastAsia="仿宋_GB2312" w:hAnsi="Times New Roman" w:cs="Times New Roman"/>
          <w:sz w:val="30"/>
          <w:szCs w:val="30"/>
        </w:rPr>
      </w:pPr>
      <w:r>
        <w:rPr>
          <w:rFonts w:ascii="黑体" w:eastAsia="黑体" w:hAnsi="黑体" w:cs="黑体" w:hint="eastAsia"/>
          <w:sz w:val="30"/>
          <w:szCs w:val="30"/>
        </w:rPr>
        <w:lastRenderedPageBreak/>
        <w:t>附件2</w:t>
      </w:r>
    </w:p>
    <w:p w:rsidR="00900EB6" w:rsidRDefault="00AD0A97">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马鞍山市兴博产业投资有限公司</w:t>
      </w:r>
    </w:p>
    <w:p w:rsidR="00900EB6" w:rsidRDefault="00AD0A97">
      <w:pPr>
        <w:spacing w:line="560" w:lineRule="exact"/>
        <w:jc w:val="center"/>
        <w:rPr>
          <w:rFonts w:ascii="Times New Roman" w:eastAsia="仿宋_GB2312" w:hAnsi="Times New Roman" w:cs="Times New Roman"/>
          <w:sz w:val="44"/>
          <w:szCs w:val="44"/>
        </w:rPr>
      </w:pPr>
      <w:r>
        <w:rPr>
          <w:rFonts w:ascii="方正小标宋_GBK" w:eastAsia="方正小标宋_GBK" w:hAnsi="方正小标宋_GBK" w:cs="方正小标宋_GBK" w:hint="eastAsia"/>
          <w:sz w:val="44"/>
          <w:szCs w:val="44"/>
        </w:rPr>
        <w:t>产业基金管理人申报方案</w:t>
      </w:r>
    </w:p>
    <w:p w:rsidR="00900EB6" w:rsidRDefault="00AD0A97">
      <w:pPr>
        <w:spacing w:line="560" w:lineRule="exact"/>
        <w:ind w:firstLineChars="200" w:firstLine="600"/>
        <w:jc w:val="left"/>
        <w:rPr>
          <w:rFonts w:ascii="Times New Roman" w:eastAsia="仿宋_GB2312" w:hAnsi="Times New Roman" w:cs="Times New Roman"/>
          <w:sz w:val="30"/>
          <w:szCs w:val="30"/>
        </w:rPr>
      </w:pPr>
      <w:r>
        <w:rPr>
          <w:rFonts w:ascii="黑体" w:eastAsia="黑体" w:hAnsi="黑体" w:cs="黑体" w:hint="eastAsia"/>
          <w:sz w:val="30"/>
          <w:szCs w:val="30"/>
        </w:rPr>
        <w:t>一、拟组建基金基本情况表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4"/>
        <w:gridCol w:w="5178"/>
      </w:tblGrid>
      <w:tr w:rsidR="00900EB6">
        <w:trPr>
          <w:trHeight w:val="567"/>
          <w:jc w:val="center"/>
        </w:trPr>
        <w:tc>
          <w:tcPr>
            <w:tcW w:w="3344" w:type="dxa"/>
            <w:vAlign w:val="center"/>
          </w:tcPr>
          <w:p w:rsidR="00900EB6" w:rsidRDefault="00AD0A9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拟组建基金名称</w:t>
            </w:r>
          </w:p>
        </w:tc>
        <w:tc>
          <w:tcPr>
            <w:tcW w:w="5178" w:type="dxa"/>
            <w:vAlign w:val="center"/>
          </w:tcPr>
          <w:p w:rsidR="00900EB6" w:rsidRDefault="00900EB6">
            <w:pPr>
              <w:spacing w:line="560" w:lineRule="exact"/>
              <w:jc w:val="center"/>
              <w:rPr>
                <w:rFonts w:ascii="Times New Roman" w:eastAsia="仿宋_GB2312" w:hAnsi="Times New Roman" w:cs="Times New Roman"/>
                <w:sz w:val="24"/>
                <w:szCs w:val="24"/>
              </w:rPr>
            </w:pPr>
          </w:p>
        </w:tc>
      </w:tr>
      <w:tr w:rsidR="00900EB6">
        <w:trPr>
          <w:trHeight w:val="567"/>
          <w:jc w:val="center"/>
        </w:trPr>
        <w:tc>
          <w:tcPr>
            <w:tcW w:w="3344" w:type="dxa"/>
            <w:vAlign w:val="center"/>
          </w:tcPr>
          <w:p w:rsidR="00900EB6" w:rsidRDefault="00AD0A9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拟组建基金企业性质</w:t>
            </w:r>
          </w:p>
        </w:tc>
        <w:tc>
          <w:tcPr>
            <w:tcW w:w="5178" w:type="dxa"/>
            <w:vAlign w:val="center"/>
          </w:tcPr>
          <w:p w:rsidR="00900EB6" w:rsidRDefault="00900EB6">
            <w:pPr>
              <w:spacing w:line="560" w:lineRule="exact"/>
              <w:jc w:val="center"/>
              <w:rPr>
                <w:rFonts w:ascii="Times New Roman" w:eastAsia="仿宋_GB2312" w:hAnsi="Times New Roman" w:cs="Times New Roman"/>
                <w:sz w:val="24"/>
                <w:szCs w:val="24"/>
              </w:rPr>
            </w:pPr>
          </w:p>
        </w:tc>
      </w:tr>
      <w:tr w:rsidR="00900EB6">
        <w:trPr>
          <w:trHeight w:val="567"/>
          <w:jc w:val="center"/>
        </w:trPr>
        <w:tc>
          <w:tcPr>
            <w:tcW w:w="3344" w:type="dxa"/>
            <w:vAlign w:val="center"/>
          </w:tcPr>
          <w:p w:rsidR="00900EB6" w:rsidRDefault="00AD0A9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拟募集资金规模</w:t>
            </w:r>
          </w:p>
        </w:tc>
        <w:tc>
          <w:tcPr>
            <w:tcW w:w="5178" w:type="dxa"/>
            <w:vAlign w:val="center"/>
          </w:tcPr>
          <w:p w:rsidR="00900EB6" w:rsidRDefault="00900EB6">
            <w:pPr>
              <w:spacing w:line="560" w:lineRule="exact"/>
              <w:jc w:val="center"/>
              <w:rPr>
                <w:rFonts w:ascii="Times New Roman" w:eastAsia="仿宋_GB2312" w:hAnsi="Times New Roman" w:cs="Times New Roman"/>
                <w:sz w:val="24"/>
                <w:szCs w:val="24"/>
              </w:rPr>
            </w:pPr>
          </w:p>
        </w:tc>
      </w:tr>
      <w:tr w:rsidR="00900EB6">
        <w:trPr>
          <w:trHeight w:val="567"/>
          <w:jc w:val="center"/>
        </w:trPr>
        <w:tc>
          <w:tcPr>
            <w:tcW w:w="3344" w:type="dxa"/>
            <w:vAlign w:val="center"/>
          </w:tcPr>
          <w:p w:rsidR="00900EB6" w:rsidRDefault="00AD0A9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募集安排</w:t>
            </w:r>
          </w:p>
        </w:tc>
        <w:tc>
          <w:tcPr>
            <w:tcW w:w="5178" w:type="dxa"/>
            <w:vAlign w:val="center"/>
          </w:tcPr>
          <w:p w:rsidR="00900EB6" w:rsidRDefault="00900EB6">
            <w:pPr>
              <w:spacing w:line="560" w:lineRule="exact"/>
              <w:jc w:val="center"/>
              <w:rPr>
                <w:rFonts w:ascii="Times New Roman" w:eastAsia="仿宋_GB2312" w:hAnsi="Times New Roman" w:cs="Times New Roman"/>
                <w:sz w:val="24"/>
                <w:szCs w:val="24"/>
              </w:rPr>
            </w:pPr>
          </w:p>
        </w:tc>
      </w:tr>
      <w:tr w:rsidR="00900EB6">
        <w:trPr>
          <w:trHeight w:val="567"/>
          <w:jc w:val="center"/>
        </w:trPr>
        <w:tc>
          <w:tcPr>
            <w:tcW w:w="3344" w:type="dxa"/>
            <w:vAlign w:val="center"/>
          </w:tcPr>
          <w:p w:rsidR="00900EB6" w:rsidRDefault="00AD0A9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拟组建基金存续期</w:t>
            </w:r>
          </w:p>
        </w:tc>
        <w:tc>
          <w:tcPr>
            <w:tcW w:w="5178" w:type="dxa"/>
            <w:vAlign w:val="center"/>
          </w:tcPr>
          <w:p w:rsidR="00900EB6" w:rsidRDefault="00900EB6">
            <w:pPr>
              <w:spacing w:line="560" w:lineRule="exact"/>
              <w:jc w:val="center"/>
              <w:rPr>
                <w:rFonts w:ascii="Times New Roman" w:eastAsia="仿宋_GB2312" w:hAnsi="Times New Roman" w:cs="Times New Roman"/>
                <w:sz w:val="24"/>
                <w:szCs w:val="24"/>
              </w:rPr>
            </w:pPr>
          </w:p>
        </w:tc>
      </w:tr>
      <w:tr w:rsidR="00900EB6">
        <w:trPr>
          <w:trHeight w:val="567"/>
          <w:jc w:val="center"/>
        </w:trPr>
        <w:tc>
          <w:tcPr>
            <w:tcW w:w="3344" w:type="dxa"/>
            <w:vAlign w:val="center"/>
          </w:tcPr>
          <w:p w:rsidR="00900EB6" w:rsidRDefault="00AD0A9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投资行业分布</w:t>
            </w:r>
          </w:p>
        </w:tc>
        <w:tc>
          <w:tcPr>
            <w:tcW w:w="5178" w:type="dxa"/>
            <w:vAlign w:val="center"/>
          </w:tcPr>
          <w:p w:rsidR="00900EB6" w:rsidRDefault="00900EB6">
            <w:pPr>
              <w:spacing w:line="560" w:lineRule="exact"/>
              <w:jc w:val="center"/>
              <w:rPr>
                <w:rFonts w:ascii="Times New Roman" w:eastAsia="仿宋_GB2312" w:hAnsi="Times New Roman" w:cs="Times New Roman"/>
                <w:sz w:val="24"/>
                <w:szCs w:val="24"/>
              </w:rPr>
            </w:pPr>
          </w:p>
        </w:tc>
      </w:tr>
      <w:tr w:rsidR="00900EB6">
        <w:trPr>
          <w:trHeight w:val="567"/>
          <w:jc w:val="center"/>
        </w:trPr>
        <w:tc>
          <w:tcPr>
            <w:tcW w:w="3344" w:type="dxa"/>
            <w:vAlign w:val="center"/>
          </w:tcPr>
          <w:p w:rsidR="00900EB6" w:rsidRDefault="00AD0A9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投资区域分布</w:t>
            </w:r>
          </w:p>
        </w:tc>
        <w:tc>
          <w:tcPr>
            <w:tcW w:w="5178" w:type="dxa"/>
            <w:vAlign w:val="center"/>
          </w:tcPr>
          <w:p w:rsidR="00900EB6" w:rsidRDefault="00900EB6">
            <w:pPr>
              <w:spacing w:line="560" w:lineRule="exact"/>
              <w:jc w:val="center"/>
              <w:rPr>
                <w:rFonts w:ascii="Times New Roman" w:eastAsia="仿宋_GB2312" w:hAnsi="Times New Roman" w:cs="Times New Roman"/>
                <w:sz w:val="24"/>
                <w:szCs w:val="24"/>
              </w:rPr>
            </w:pPr>
          </w:p>
        </w:tc>
      </w:tr>
      <w:tr w:rsidR="00900EB6">
        <w:trPr>
          <w:trHeight w:val="567"/>
          <w:jc w:val="center"/>
        </w:trPr>
        <w:tc>
          <w:tcPr>
            <w:tcW w:w="3344" w:type="dxa"/>
            <w:vAlign w:val="center"/>
          </w:tcPr>
          <w:p w:rsidR="00900EB6" w:rsidRDefault="00AD0A9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基金管理机构</w:t>
            </w:r>
          </w:p>
        </w:tc>
        <w:tc>
          <w:tcPr>
            <w:tcW w:w="5178" w:type="dxa"/>
            <w:vAlign w:val="center"/>
          </w:tcPr>
          <w:p w:rsidR="00900EB6" w:rsidRDefault="00900EB6">
            <w:pPr>
              <w:spacing w:line="560" w:lineRule="exact"/>
              <w:jc w:val="center"/>
              <w:rPr>
                <w:rFonts w:ascii="Times New Roman" w:eastAsia="仿宋_GB2312" w:hAnsi="Times New Roman" w:cs="Times New Roman"/>
                <w:sz w:val="24"/>
                <w:szCs w:val="24"/>
              </w:rPr>
            </w:pPr>
          </w:p>
        </w:tc>
      </w:tr>
      <w:tr w:rsidR="00900EB6">
        <w:trPr>
          <w:trHeight w:val="567"/>
          <w:jc w:val="center"/>
        </w:trPr>
        <w:tc>
          <w:tcPr>
            <w:tcW w:w="3344" w:type="dxa"/>
            <w:vAlign w:val="center"/>
          </w:tcPr>
          <w:p w:rsidR="00900EB6" w:rsidRDefault="00AD0A9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管理费收取比例</w:t>
            </w:r>
          </w:p>
        </w:tc>
        <w:tc>
          <w:tcPr>
            <w:tcW w:w="5178" w:type="dxa"/>
            <w:vAlign w:val="center"/>
          </w:tcPr>
          <w:p w:rsidR="00900EB6" w:rsidRDefault="00900EB6">
            <w:pPr>
              <w:spacing w:line="560" w:lineRule="exact"/>
              <w:jc w:val="center"/>
              <w:rPr>
                <w:rFonts w:ascii="Times New Roman" w:eastAsia="仿宋_GB2312" w:hAnsi="Times New Roman" w:cs="Times New Roman"/>
                <w:sz w:val="24"/>
                <w:szCs w:val="24"/>
              </w:rPr>
            </w:pPr>
          </w:p>
        </w:tc>
      </w:tr>
      <w:tr w:rsidR="00900EB6">
        <w:trPr>
          <w:trHeight w:val="567"/>
          <w:jc w:val="center"/>
        </w:trPr>
        <w:tc>
          <w:tcPr>
            <w:tcW w:w="3344" w:type="dxa"/>
            <w:vAlign w:val="center"/>
          </w:tcPr>
          <w:p w:rsidR="00900EB6" w:rsidRDefault="00AD0A9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利益分配</w:t>
            </w:r>
          </w:p>
        </w:tc>
        <w:tc>
          <w:tcPr>
            <w:tcW w:w="5178" w:type="dxa"/>
            <w:vAlign w:val="center"/>
          </w:tcPr>
          <w:p w:rsidR="00900EB6" w:rsidRDefault="00900EB6">
            <w:pPr>
              <w:spacing w:line="560" w:lineRule="exact"/>
              <w:jc w:val="center"/>
              <w:rPr>
                <w:rFonts w:ascii="Times New Roman" w:eastAsia="仿宋_GB2312" w:hAnsi="Times New Roman" w:cs="Times New Roman"/>
                <w:sz w:val="24"/>
                <w:szCs w:val="24"/>
              </w:rPr>
            </w:pPr>
          </w:p>
        </w:tc>
      </w:tr>
      <w:tr w:rsidR="00900EB6">
        <w:trPr>
          <w:trHeight w:val="567"/>
          <w:jc w:val="center"/>
        </w:trPr>
        <w:tc>
          <w:tcPr>
            <w:tcW w:w="3344" w:type="dxa"/>
            <w:vAlign w:val="center"/>
          </w:tcPr>
          <w:p w:rsidR="00900EB6" w:rsidRDefault="00AD0A9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投资决策机构及决策制度</w:t>
            </w:r>
          </w:p>
        </w:tc>
        <w:tc>
          <w:tcPr>
            <w:tcW w:w="5178" w:type="dxa"/>
            <w:vAlign w:val="center"/>
          </w:tcPr>
          <w:p w:rsidR="00900EB6" w:rsidRDefault="00900EB6">
            <w:pPr>
              <w:spacing w:line="560" w:lineRule="exact"/>
              <w:jc w:val="center"/>
              <w:rPr>
                <w:rFonts w:ascii="Times New Roman" w:eastAsia="仿宋_GB2312" w:hAnsi="Times New Roman" w:cs="Times New Roman"/>
                <w:sz w:val="24"/>
                <w:szCs w:val="24"/>
              </w:rPr>
            </w:pPr>
          </w:p>
        </w:tc>
      </w:tr>
      <w:tr w:rsidR="00900EB6">
        <w:trPr>
          <w:trHeight w:val="567"/>
          <w:jc w:val="center"/>
        </w:trPr>
        <w:tc>
          <w:tcPr>
            <w:tcW w:w="3344" w:type="dxa"/>
            <w:vAlign w:val="center"/>
          </w:tcPr>
          <w:p w:rsidR="00900EB6" w:rsidRDefault="00AD0A9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管理团队及主要成员</w:t>
            </w:r>
          </w:p>
        </w:tc>
        <w:tc>
          <w:tcPr>
            <w:tcW w:w="5178" w:type="dxa"/>
            <w:vAlign w:val="center"/>
          </w:tcPr>
          <w:p w:rsidR="00900EB6" w:rsidRDefault="00900EB6">
            <w:pPr>
              <w:spacing w:line="560" w:lineRule="exact"/>
              <w:jc w:val="center"/>
              <w:rPr>
                <w:rFonts w:ascii="Times New Roman" w:eastAsia="仿宋_GB2312" w:hAnsi="Times New Roman" w:cs="Times New Roman"/>
                <w:sz w:val="24"/>
                <w:szCs w:val="24"/>
              </w:rPr>
            </w:pPr>
          </w:p>
        </w:tc>
      </w:tr>
    </w:tbl>
    <w:p w:rsidR="00900EB6" w:rsidRDefault="00AD0A97">
      <w:p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二、拟组建基金方案</w:t>
      </w:r>
    </w:p>
    <w:p w:rsidR="00900EB6" w:rsidRDefault="00AD0A97">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（一）基金设立背景和目标</w:t>
      </w:r>
    </w:p>
    <w:p w:rsidR="00900EB6" w:rsidRDefault="00AD0A97">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（二）基金的基本要素</w:t>
      </w:r>
    </w:p>
    <w:p w:rsidR="00900EB6" w:rsidRDefault="00AD0A97">
      <w:pPr>
        <w:numPr>
          <w:ilvl w:val="0"/>
          <w:numId w:val="3"/>
        </w:num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基金名称；</w:t>
      </w:r>
    </w:p>
    <w:p w:rsidR="00900EB6" w:rsidRDefault="00AD0A97">
      <w:pPr>
        <w:numPr>
          <w:ilvl w:val="0"/>
          <w:numId w:val="3"/>
        </w:num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组织形式；</w:t>
      </w:r>
    </w:p>
    <w:p w:rsidR="00900EB6" w:rsidRDefault="00AD0A97">
      <w:pPr>
        <w:numPr>
          <w:ilvl w:val="0"/>
          <w:numId w:val="3"/>
        </w:num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基金存续期及出资安排计划；</w:t>
      </w:r>
    </w:p>
    <w:p w:rsidR="00900EB6" w:rsidRDefault="00AD0A97">
      <w:pPr>
        <w:numPr>
          <w:ilvl w:val="0"/>
          <w:numId w:val="3"/>
        </w:num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拟投资产业领域、投资区域、投资阶段。</w:t>
      </w:r>
    </w:p>
    <w:p w:rsidR="00900EB6" w:rsidRDefault="00AD0A97">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（三）基金的主要参与方情况；</w:t>
      </w:r>
    </w:p>
    <w:p w:rsidR="00900EB6" w:rsidRDefault="00AD0A97">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（四）基金的利润分配和激励制度；</w:t>
      </w:r>
    </w:p>
    <w:p w:rsidR="00900EB6" w:rsidRDefault="00AD0A97">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（五）组建基金的竞争优势，即相同条件下取得项目的计划；</w:t>
      </w:r>
    </w:p>
    <w:p w:rsidR="00327E07" w:rsidRDefault="00AD0A97">
      <w:pPr>
        <w:spacing w:line="560" w:lineRule="exact"/>
        <w:ind w:firstLineChars="200" w:firstLine="600"/>
      </w:pPr>
      <w:r>
        <w:rPr>
          <w:rFonts w:ascii="楷体_GB2312" w:eastAsia="楷体_GB2312" w:hAnsi="楷体_GB2312" w:cs="楷体_GB2312" w:hint="eastAsia"/>
          <w:sz w:val="30"/>
          <w:szCs w:val="30"/>
        </w:rPr>
        <w:t>（六）基金储备项目情况；</w:t>
      </w:r>
    </w:p>
    <w:p w:rsidR="00900EB6" w:rsidRDefault="00AD0A97">
      <w:pPr>
        <w:spacing w:line="560" w:lineRule="exact"/>
        <w:ind w:firstLineChars="200" w:firstLine="600"/>
        <w:rPr>
          <w:rFonts w:ascii="Times New Roman" w:eastAsia="仿宋_GB2312" w:hAnsi="Times New Roman" w:cs="Times New Roman"/>
          <w:sz w:val="30"/>
          <w:szCs w:val="30"/>
        </w:rPr>
      </w:pPr>
      <w:r>
        <w:rPr>
          <w:rFonts w:ascii="黑体" w:eastAsia="黑体" w:hAnsi="黑体" w:cs="黑体" w:hint="eastAsia"/>
          <w:sz w:val="30"/>
          <w:szCs w:val="30"/>
        </w:rPr>
        <w:t>三、基金管理机构及管理团队简介</w:t>
      </w:r>
    </w:p>
    <w:p w:rsidR="00900EB6" w:rsidRDefault="00AD0A97">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（一）管理机构的基本情况</w:t>
      </w:r>
    </w:p>
    <w:p w:rsidR="00900EB6" w:rsidRDefault="00AD0A97">
      <w:pPr>
        <w:numPr>
          <w:ilvl w:val="0"/>
          <w:numId w:val="4"/>
        </w:num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基本概况：机构名称、组织形式、法定代表人、注册资本、营业地址、品牌影响力、历史沿革等基本信息；</w:t>
      </w:r>
    </w:p>
    <w:p w:rsidR="00900EB6" w:rsidRDefault="00AD0A97">
      <w:pPr>
        <w:numPr>
          <w:ilvl w:val="0"/>
          <w:numId w:val="4"/>
        </w:num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股东（合伙人）的基本情况；</w:t>
      </w:r>
    </w:p>
    <w:p w:rsidR="00900EB6" w:rsidRDefault="00AD0A97">
      <w:pPr>
        <w:numPr>
          <w:ilvl w:val="0"/>
          <w:numId w:val="4"/>
        </w:num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组织架构及人员配置情况。</w:t>
      </w:r>
    </w:p>
    <w:p w:rsidR="00900EB6" w:rsidRDefault="00AD0A97">
      <w:pPr>
        <w:spacing w:line="560" w:lineRule="exact"/>
        <w:ind w:firstLineChars="200" w:firstLine="600"/>
        <w:rPr>
          <w:rFonts w:ascii="Times New Roman" w:eastAsia="仿宋_GB2312" w:hAnsi="Times New Roman" w:cs="Times New Roman"/>
          <w:sz w:val="30"/>
          <w:szCs w:val="30"/>
        </w:rPr>
      </w:pPr>
      <w:r>
        <w:rPr>
          <w:rFonts w:ascii="楷体_GB2312" w:eastAsia="楷体_GB2312" w:hAnsi="楷体_GB2312" w:cs="楷体_GB2312" w:hint="eastAsia"/>
          <w:sz w:val="30"/>
          <w:szCs w:val="30"/>
        </w:rPr>
        <w:t>（二）业务经营情况</w:t>
      </w:r>
    </w:p>
    <w:p w:rsidR="00900EB6" w:rsidRDefault="00AD0A97">
      <w:pPr>
        <w:numPr>
          <w:ilvl w:val="0"/>
          <w:numId w:val="5"/>
        </w:num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历史管理基金：投资类型、地域范围、行业、规模、阶段等；</w:t>
      </w:r>
    </w:p>
    <w:p w:rsidR="00900EB6" w:rsidRDefault="00AD0A97">
      <w:pPr>
        <w:numPr>
          <w:ilvl w:val="0"/>
          <w:numId w:val="5"/>
        </w:num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与投资咨询相关的业务情况；</w:t>
      </w:r>
    </w:p>
    <w:p w:rsidR="00900EB6" w:rsidRDefault="00AD0A97">
      <w:pPr>
        <w:numPr>
          <w:ilvl w:val="0"/>
          <w:numId w:val="5"/>
        </w:num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业绩案例介绍。</w:t>
      </w:r>
    </w:p>
    <w:p w:rsidR="00900EB6" w:rsidRDefault="00AD0A97">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（三）拟组建基金的投资管理团队情况：</w:t>
      </w:r>
    </w:p>
    <w:p w:rsidR="00900EB6" w:rsidRDefault="00AD0A97">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主要团队成员介绍。</w:t>
      </w:r>
    </w:p>
    <w:p w:rsidR="00900EB6" w:rsidRDefault="00AD0A97">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（四）团队能力评估</w:t>
      </w:r>
    </w:p>
    <w:p w:rsidR="00900EB6" w:rsidRDefault="00AD0A97">
      <w:pPr>
        <w:numPr>
          <w:ilvl w:val="0"/>
          <w:numId w:val="6"/>
        </w:num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投资能力</w:t>
      </w:r>
    </w:p>
    <w:p w:rsidR="00900EB6" w:rsidRDefault="00AD0A97">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1</w:t>
      </w:r>
      <w:r>
        <w:rPr>
          <w:rFonts w:ascii="Times New Roman" w:eastAsia="仿宋_GB2312" w:hAnsi="Times New Roman" w:cs="Times New Roman"/>
          <w:sz w:val="30"/>
          <w:szCs w:val="30"/>
        </w:rPr>
        <w:t>）产业项目合作方；</w:t>
      </w:r>
    </w:p>
    <w:p w:rsidR="00900EB6" w:rsidRDefault="00AD0A97">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2</w:t>
      </w:r>
      <w:r>
        <w:rPr>
          <w:rFonts w:ascii="Times New Roman" w:eastAsia="仿宋_GB2312" w:hAnsi="Times New Roman" w:cs="Times New Roman"/>
          <w:sz w:val="30"/>
          <w:szCs w:val="30"/>
        </w:rPr>
        <w:t>）投资决策流程及风险控制；</w:t>
      </w:r>
    </w:p>
    <w:p w:rsidR="00900EB6" w:rsidRDefault="00AD0A97">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3</w:t>
      </w:r>
      <w:r>
        <w:rPr>
          <w:rFonts w:ascii="Times New Roman" w:eastAsia="仿宋_GB2312" w:hAnsi="Times New Roman" w:cs="Times New Roman"/>
          <w:sz w:val="30"/>
          <w:szCs w:val="30"/>
        </w:rPr>
        <w:t>）竞争取得项目的策略和优势；</w:t>
      </w:r>
    </w:p>
    <w:p w:rsidR="00900EB6" w:rsidRDefault="00AD0A97">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w:t>
      </w:r>
      <w:r>
        <w:rPr>
          <w:rFonts w:ascii="Times New Roman" w:eastAsia="仿宋_GB2312" w:hAnsi="Times New Roman" w:cs="Times New Roman"/>
          <w:sz w:val="30"/>
          <w:szCs w:val="30"/>
        </w:rPr>
        <w:t>4</w:t>
      </w:r>
      <w:r>
        <w:rPr>
          <w:rFonts w:ascii="Times New Roman" w:eastAsia="仿宋_GB2312" w:hAnsi="Times New Roman" w:cs="Times New Roman"/>
          <w:sz w:val="30"/>
          <w:szCs w:val="30"/>
        </w:rPr>
        <w:t>）作为牵头投资人的经验。</w:t>
      </w:r>
    </w:p>
    <w:p w:rsidR="00900EB6" w:rsidRDefault="00900EB6">
      <w:pPr>
        <w:spacing w:line="560" w:lineRule="exact"/>
        <w:ind w:firstLineChars="200" w:firstLine="600"/>
        <w:rPr>
          <w:rFonts w:ascii="Times New Roman" w:eastAsia="仿宋_GB2312" w:hAnsi="Times New Roman" w:cs="Times New Roman"/>
          <w:sz w:val="30"/>
          <w:szCs w:val="30"/>
        </w:rPr>
      </w:pPr>
    </w:p>
    <w:p w:rsidR="00900EB6" w:rsidRDefault="00AD0A97">
      <w:pPr>
        <w:numPr>
          <w:ilvl w:val="0"/>
          <w:numId w:val="6"/>
        </w:num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项目管理能力</w:t>
      </w:r>
    </w:p>
    <w:p w:rsidR="00900EB6" w:rsidRDefault="00AD0A97">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1</w:t>
      </w:r>
      <w:r>
        <w:rPr>
          <w:rFonts w:ascii="Times New Roman" w:eastAsia="仿宋_GB2312" w:hAnsi="Times New Roman" w:cs="Times New Roman"/>
          <w:sz w:val="30"/>
          <w:szCs w:val="30"/>
        </w:rPr>
        <w:t>）细分行业投资经验；</w:t>
      </w:r>
    </w:p>
    <w:p w:rsidR="00900EB6" w:rsidRDefault="00AD0A97">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2</w:t>
      </w:r>
      <w:r>
        <w:rPr>
          <w:rFonts w:ascii="Times New Roman" w:eastAsia="仿宋_GB2312" w:hAnsi="Times New Roman" w:cs="Times New Roman"/>
          <w:sz w:val="30"/>
          <w:szCs w:val="30"/>
        </w:rPr>
        <w:t>）提供增值服务的能力和成绩。</w:t>
      </w:r>
    </w:p>
    <w:p w:rsidR="00900EB6" w:rsidRDefault="00AD0A97">
      <w:pPr>
        <w:numPr>
          <w:ilvl w:val="0"/>
          <w:numId w:val="6"/>
        </w:num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退出能力</w:t>
      </w:r>
    </w:p>
    <w:p w:rsidR="00900EB6" w:rsidRDefault="00AD0A97">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已退出项目介绍。</w:t>
      </w:r>
    </w:p>
    <w:p w:rsidR="00900EB6" w:rsidRDefault="00900EB6">
      <w:pPr>
        <w:spacing w:line="360" w:lineRule="auto"/>
        <w:jc w:val="left"/>
        <w:rPr>
          <w:rFonts w:ascii="黑体" w:eastAsia="黑体" w:hAnsi="黑体" w:cs="黑体"/>
          <w:sz w:val="30"/>
          <w:szCs w:val="30"/>
        </w:rPr>
        <w:sectPr w:rsidR="00900EB6">
          <w:footerReference w:type="default" r:id="rId10"/>
          <w:pgSz w:w="11906" w:h="16838"/>
          <w:pgMar w:top="2098" w:right="1531" w:bottom="1985" w:left="1531" w:header="1588" w:footer="851" w:gutter="0"/>
          <w:pgNumType w:fmt="numberInDash" w:start="1"/>
          <w:cols w:space="425"/>
          <w:docGrid w:type="lines" w:linePitch="312"/>
        </w:sectPr>
      </w:pPr>
    </w:p>
    <w:p w:rsidR="00900EB6" w:rsidRDefault="00AD0A97">
      <w:pPr>
        <w:spacing w:line="360" w:lineRule="auto"/>
        <w:jc w:val="left"/>
        <w:rPr>
          <w:rFonts w:ascii="Times New Roman" w:eastAsia="仿宋_GB2312" w:hAnsi="Times New Roman" w:cs="Times New Roman"/>
          <w:sz w:val="30"/>
          <w:szCs w:val="30"/>
        </w:rPr>
      </w:pPr>
      <w:r>
        <w:rPr>
          <w:rFonts w:ascii="黑体" w:eastAsia="黑体" w:hAnsi="黑体" w:cs="黑体" w:hint="eastAsia"/>
          <w:sz w:val="30"/>
          <w:szCs w:val="30"/>
        </w:rPr>
        <w:lastRenderedPageBreak/>
        <w:t>附件3</w:t>
      </w:r>
    </w:p>
    <w:p w:rsidR="00900EB6" w:rsidRDefault="00AD0A97">
      <w:pPr>
        <w:adjustRightInd w:val="0"/>
        <w:spacing w:line="620" w:lineRule="exact"/>
        <w:jc w:val="center"/>
        <w:rPr>
          <w:rFonts w:ascii="Times New Roman" w:eastAsia="仿宋_GB2312" w:hAnsi="Times New Roman" w:cs="Times New Roman"/>
          <w:sz w:val="44"/>
          <w:szCs w:val="44"/>
        </w:rPr>
      </w:pPr>
      <w:r>
        <w:rPr>
          <w:rFonts w:ascii="方正小标宋_GBK" w:eastAsia="方正小标宋_GBK" w:hAnsi="方正小标宋_GBK" w:cs="方正小标宋_GBK" w:hint="eastAsia"/>
          <w:sz w:val="44"/>
          <w:szCs w:val="44"/>
        </w:rPr>
        <w:t>评分细则</w:t>
      </w:r>
    </w:p>
    <w:p w:rsidR="00900EB6" w:rsidRDefault="00AD0A97">
      <w:pPr>
        <w:adjustRightIn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本次评审满分为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分，具体见下表：</w:t>
      </w:r>
    </w:p>
    <w:tbl>
      <w:tblPr>
        <w:tblW w:w="8920" w:type="dxa"/>
        <w:tblInd w:w="93" w:type="dxa"/>
        <w:tblLayout w:type="fixed"/>
        <w:tblLook w:val="04A0"/>
      </w:tblPr>
      <w:tblGrid>
        <w:gridCol w:w="600"/>
        <w:gridCol w:w="1220"/>
        <w:gridCol w:w="640"/>
        <w:gridCol w:w="5138"/>
        <w:gridCol w:w="450"/>
        <w:gridCol w:w="872"/>
      </w:tblGrid>
      <w:tr w:rsidR="00900EB6" w:rsidTr="00900EB6">
        <w:trPr>
          <w:trHeight w:val="40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序号</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评审内容</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分值</w:t>
            </w:r>
          </w:p>
        </w:tc>
        <w:tc>
          <w:tcPr>
            <w:tcW w:w="5588" w:type="dxa"/>
            <w:gridSpan w:val="2"/>
            <w:tcBorders>
              <w:top w:val="single" w:sz="4" w:space="0" w:color="auto"/>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评审标准</w:t>
            </w:r>
          </w:p>
        </w:tc>
        <w:tc>
          <w:tcPr>
            <w:tcW w:w="872" w:type="dxa"/>
            <w:tcBorders>
              <w:top w:val="single" w:sz="4" w:space="0" w:color="auto"/>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评审得分</w:t>
            </w:r>
          </w:p>
        </w:tc>
      </w:tr>
      <w:tr w:rsidR="00900EB6" w:rsidTr="00900EB6">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一</w:t>
            </w:r>
          </w:p>
        </w:tc>
        <w:tc>
          <w:tcPr>
            <w:tcW w:w="1220" w:type="dxa"/>
            <w:tcBorders>
              <w:top w:val="nil"/>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企业情况</w:t>
            </w:r>
          </w:p>
        </w:tc>
        <w:tc>
          <w:tcPr>
            <w:tcW w:w="640" w:type="dxa"/>
            <w:tcBorders>
              <w:top w:val="nil"/>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hint="eastAsia"/>
                <w:kern w:val="0"/>
                <w:sz w:val="22"/>
              </w:rPr>
              <w:t>30</w:t>
            </w:r>
          </w:p>
        </w:tc>
        <w:tc>
          <w:tcPr>
            <w:tcW w:w="5138" w:type="dxa"/>
            <w:tcBorders>
              <w:top w:val="nil"/>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 xml:space="preserve">　</w:t>
            </w:r>
            <w:bookmarkStart w:id="7" w:name="_GoBack"/>
            <w:bookmarkEnd w:id="7"/>
          </w:p>
        </w:tc>
        <w:tc>
          <w:tcPr>
            <w:tcW w:w="450" w:type="dxa"/>
            <w:tcBorders>
              <w:top w:val="nil"/>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 xml:space="preserve">　</w:t>
            </w:r>
          </w:p>
        </w:tc>
        <w:tc>
          <w:tcPr>
            <w:tcW w:w="872" w:type="dxa"/>
            <w:tcBorders>
              <w:top w:val="nil"/>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 xml:space="preserve">　</w:t>
            </w:r>
          </w:p>
        </w:tc>
      </w:tr>
      <w:tr w:rsidR="00900EB6">
        <w:trPr>
          <w:trHeight w:val="810"/>
        </w:trPr>
        <w:tc>
          <w:tcPr>
            <w:tcW w:w="600" w:type="dxa"/>
            <w:tcBorders>
              <w:top w:val="nil"/>
              <w:left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1</w:t>
            </w:r>
          </w:p>
        </w:tc>
        <w:tc>
          <w:tcPr>
            <w:tcW w:w="1220" w:type="dxa"/>
            <w:tcBorders>
              <w:top w:val="nil"/>
              <w:left w:val="single" w:sz="4" w:space="0" w:color="auto"/>
              <w:right w:val="single" w:sz="4" w:space="0" w:color="auto"/>
            </w:tcBorders>
            <w:shd w:val="clear" w:color="auto" w:fill="auto"/>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企业资质</w:t>
            </w:r>
          </w:p>
        </w:tc>
        <w:tc>
          <w:tcPr>
            <w:tcW w:w="640" w:type="dxa"/>
            <w:tcBorders>
              <w:top w:val="nil"/>
              <w:left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10</w:t>
            </w:r>
          </w:p>
        </w:tc>
        <w:tc>
          <w:tcPr>
            <w:tcW w:w="5138" w:type="dxa"/>
            <w:tcBorders>
              <w:top w:val="nil"/>
              <w:left w:val="nil"/>
              <w:bottom w:val="single" w:sz="4" w:space="0" w:color="auto"/>
              <w:right w:val="single" w:sz="4" w:space="0" w:color="auto"/>
            </w:tcBorders>
            <w:shd w:val="clear" w:color="auto" w:fill="auto"/>
            <w:vAlign w:val="center"/>
          </w:tcPr>
          <w:p w:rsidR="00900EB6" w:rsidRDefault="00AD0A97">
            <w:pPr>
              <w:widowControl/>
              <w:jc w:val="left"/>
              <w:rPr>
                <w:rFonts w:ascii="Times New Roman" w:hAnsi="Times New Roman" w:cs="Times New Roman"/>
                <w:kern w:val="0"/>
                <w:sz w:val="22"/>
              </w:rPr>
            </w:pPr>
            <w:r>
              <w:rPr>
                <w:rFonts w:ascii="Times New Roman" w:hAnsi="Times New Roman" w:cs="Times New Roman"/>
                <w:kern w:val="0"/>
                <w:sz w:val="22"/>
              </w:rPr>
              <w:t>在中国证券投资基金业协会完成私募基金管理人登记三年及以上，已有私募股权投资基金产品在中国证券投资基金业协会完成备案。</w:t>
            </w:r>
          </w:p>
          <w:p w:rsidR="00900EB6" w:rsidRDefault="00AD0A97">
            <w:pPr>
              <w:widowControl/>
              <w:jc w:val="left"/>
              <w:rPr>
                <w:rFonts w:ascii="Times New Roman" w:hAnsi="Times New Roman" w:cs="Times New Roman"/>
                <w:kern w:val="0"/>
                <w:sz w:val="22"/>
              </w:rPr>
            </w:pPr>
            <w:r>
              <w:rPr>
                <w:rFonts w:ascii="Times New Roman" w:hAnsi="Times New Roman" w:cs="Times New Roman" w:hint="eastAsia"/>
                <w:kern w:val="0"/>
                <w:sz w:val="22"/>
              </w:rPr>
              <w:t>完成备案私募股权基金产品</w:t>
            </w:r>
            <w:r>
              <w:rPr>
                <w:rFonts w:ascii="Times New Roman" w:hAnsi="Times New Roman" w:cs="Times New Roman" w:hint="eastAsia"/>
                <w:kern w:val="0"/>
                <w:sz w:val="22"/>
              </w:rPr>
              <w:t>1</w:t>
            </w:r>
            <w:r>
              <w:rPr>
                <w:rFonts w:ascii="Times New Roman" w:hAnsi="Times New Roman" w:cs="Times New Roman" w:hint="eastAsia"/>
                <w:kern w:val="0"/>
                <w:sz w:val="22"/>
              </w:rPr>
              <w:t>支得</w:t>
            </w:r>
            <w:r>
              <w:rPr>
                <w:rFonts w:ascii="Times New Roman" w:hAnsi="Times New Roman" w:cs="Times New Roman" w:hint="eastAsia"/>
                <w:kern w:val="0"/>
                <w:sz w:val="22"/>
              </w:rPr>
              <w:t>5</w:t>
            </w:r>
            <w:r>
              <w:rPr>
                <w:rFonts w:ascii="Times New Roman" w:hAnsi="Times New Roman" w:cs="Times New Roman" w:hint="eastAsia"/>
                <w:kern w:val="0"/>
                <w:sz w:val="22"/>
              </w:rPr>
              <w:t>分，</w:t>
            </w:r>
            <w:r>
              <w:rPr>
                <w:rFonts w:ascii="Times New Roman" w:hAnsi="Times New Roman" w:cs="Times New Roman"/>
                <w:kern w:val="0"/>
                <w:sz w:val="22"/>
              </w:rPr>
              <w:t>每增加</w:t>
            </w:r>
            <w:r>
              <w:rPr>
                <w:rFonts w:ascii="Times New Roman" w:hAnsi="Times New Roman" w:cs="Times New Roman" w:hint="eastAsia"/>
                <w:kern w:val="0"/>
                <w:sz w:val="22"/>
              </w:rPr>
              <w:t>1</w:t>
            </w:r>
            <w:r>
              <w:rPr>
                <w:rFonts w:ascii="Times New Roman" w:hAnsi="Times New Roman" w:cs="Times New Roman" w:hint="eastAsia"/>
                <w:kern w:val="0"/>
                <w:sz w:val="22"/>
              </w:rPr>
              <w:t>支</w:t>
            </w:r>
            <w:r>
              <w:rPr>
                <w:rFonts w:ascii="Times New Roman" w:hAnsi="Times New Roman" w:cs="Times New Roman"/>
                <w:kern w:val="0"/>
                <w:sz w:val="22"/>
              </w:rPr>
              <w:t>加</w:t>
            </w:r>
            <w:r>
              <w:rPr>
                <w:rFonts w:ascii="Times New Roman" w:hAnsi="Times New Roman" w:cs="Times New Roman" w:hint="eastAsia"/>
                <w:kern w:val="0"/>
                <w:sz w:val="22"/>
              </w:rPr>
              <w:t>1</w:t>
            </w:r>
            <w:r>
              <w:rPr>
                <w:rFonts w:ascii="Times New Roman" w:hAnsi="Times New Roman" w:cs="Times New Roman"/>
                <w:kern w:val="0"/>
                <w:sz w:val="22"/>
              </w:rPr>
              <w:t>分，最多加</w:t>
            </w:r>
            <w:r>
              <w:rPr>
                <w:rFonts w:ascii="Times New Roman" w:hAnsi="Times New Roman" w:cs="Times New Roman" w:hint="eastAsia"/>
                <w:kern w:val="0"/>
                <w:sz w:val="22"/>
              </w:rPr>
              <w:t>10</w:t>
            </w:r>
            <w:r>
              <w:rPr>
                <w:rFonts w:ascii="Times New Roman" w:hAnsi="Times New Roman" w:cs="Times New Roman"/>
                <w:kern w:val="0"/>
                <w:sz w:val="22"/>
              </w:rPr>
              <w:t>分</w:t>
            </w:r>
            <w:r>
              <w:rPr>
                <w:rFonts w:ascii="Times New Roman" w:hAnsi="Times New Roman" w:cs="Times New Roman" w:hint="eastAsia"/>
                <w:kern w:val="0"/>
                <w:sz w:val="22"/>
              </w:rPr>
              <w:t>（不含已清算或退出的）</w:t>
            </w:r>
            <w:r>
              <w:rPr>
                <w:rFonts w:ascii="Times New Roman" w:hAnsi="Times New Roman" w:cs="Times New Roman"/>
                <w:kern w:val="0"/>
                <w:sz w:val="22"/>
              </w:rPr>
              <w:t>。</w:t>
            </w:r>
          </w:p>
        </w:tc>
        <w:tc>
          <w:tcPr>
            <w:tcW w:w="450" w:type="dxa"/>
            <w:tcBorders>
              <w:top w:val="nil"/>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hint="eastAsia"/>
                <w:kern w:val="0"/>
                <w:sz w:val="22"/>
              </w:rPr>
              <w:t>10</w:t>
            </w:r>
          </w:p>
        </w:tc>
        <w:tc>
          <w:tcPr>
            <w:tcW w:w="872" w:type="dxa"/>
            <w:tcBorders>
              <w:top w:val="nil"/>
              <w:left w:val="single" w:sz="4" w:space="0" w:color="auto"/>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 xml:space="preserve">　</w:t>
            </w:r>
          </w:p>
        </w:tc>
      </w:tr>
      <w:tr w:rsidR="00900EB6" w:rsidTr="00900EB6">
        <w:trPr>
          <w:trHeight w:val="810"/>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tcPr>
          <w:p w:rsidR="00900EB6" w:rsidRDefault="00284E79">
            <w:pPr>
              <w:widowControl/>
              <w:jc w:val="center"/>
              <w:rPr>
                <w:rFonts w:ascii="Times New Roman" w:hAnsi="Times New Roman" w:cs="Times New Roman"/>
                <w:kern w:val="0"/>
                <w:sz w:val="22"/>
              </w:rPr>
            </w:pPr>
            <w:r w:rsidRPr="00284E79">
              <w:rPr>
                <w:rFonts w:ascii="Times New Roman" w:hAnsi="Times New Roman" w:cs="Times New Roman"/>
                <w:kern w:val="0"/>
                <w:sz w:val="22"/>
              </w:rPr>
              <w:t>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900EB6" w:rsidRDefault="00284E79">
            <w:pPr>
              <w:widowControl/>
              <w:jc w:val="center"/>
              <w:rPr>
                <w:rFonts w:ascii="Times New Roman" w:hAnsi="Times New Roman" w:cs="Times New Roman"/>
                <w:kern w:val="0"/>
                <w:sz w:val="22"/>
              </w:rPr>
            </w:pPr>
            <w:r w:rsidRPr="00284E79">
              <w:rPr>
                <w:rFonts w:ascii="Times New Roman" w:hAnsi="Times New Roman" w:cs="Times New Roman" w:hint="eastAsia"/>
                <w:kern w:val="0"/>
                <w:sz w:val="22"/>
              </w:rPr>
              <w:t>企业业绩</w:t>
            </w:r>
          </w:p>
        </w:tc>
        <w:tc>
          <w:tcPr>
            <w:tcW w:w="640" w:type="dxa"/>
            <w:vMerge w:val="restart"/>
            <w:tcBorders>
              <w:top w:val="nil"/>
              <w:left w:val="single" w:sz="4" w:space="0" w:color="auto"/>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hint="eastAsia"/>
                <w:kern w:val="0"/>
                <w:sz w:val="22"/>
              </w:rPr>
              <w:t>20</w:t>
            </w:r>
          </w:p>
        </w:tc>
        <w:tc>
          <w:tcPr>
            <w:tcW w:w="5138" w:type="dxa"/>
            <w:tcBorders>
              <w:top w:val="nil"/>
              <w:left w:val="nil"/>
              <w:bottom w:val="single" w:sz="4" w:space="0" w:color="auto"/>
              <w:right w:val="single" w:sz="4" w:space="0" w:color="auto"/>
            </w:tcBorders>
            <w:shd w:val="clear" w:color="auto" w:fill="auto"/>
            <w:vAlign w:val="center"/>
          </w:tcPr>
          <w:p w:rsidR="00900EB6" w:rsidRPr="00900EB6" w:rsidRDefault="00284E79">
            <w:pPr>
              <w:widowControl/>
              <w:tabs>
                <w:tab w:val="center" w:pos="4153"/>
                <w:tab w:val="right" w:pos="8306"/>
              </w:tabs>
              <w:snapToGrid w:val="0"/>
              <w:jc w:val="left"/>
              <w:rPr>
                <w:rFonts w:ascii="Times New Roman" w:hAnsi="Times New Roman" w:cs="Times New Roman"/>
                <w:kern w:val="0"/>
                <w:sz w:val="22"/>
              </w:rPr>
            </w:pPr>
            <w:r w:rsidRPr="00284E79">
              <w:rPr>
                <w:rFonts w:ascii="Times New Roman" w:hAnsi="Times New Roman" w:cs="Times New Roman" w:hint="eastAsia"/>
                <w:kern w:val="0"/>
                <w:sz w:val="22"/>
              </w:rPr>
              <w:t>实际在管政府产业基金不低于</w:t>
            </w:r>
            <w:r w:rsidR="00AD0A97">
              <w:rPr>
                <w:rFonts w:ascii="Times New Roman" w:hAnsi="Times New Roman" w:cs="Times New Roman" w:hint="eastAsia"/>
                <w:kern w:val="0"/>
                <w:sz w:val="22"/>
              </w:rPr>
              <w:t>一支</w:t>
            </w:r>
            <w:r w:rsidRPr="00284E79">
              <w:rPr>
                <w:rFonts w:ascii="Times New Roman" w:hAnsi="Times New Roman" w:cs="Times New Roman" w:hint="eastAsia"/>
                <w:kern w:val="0"/>
                <w:sz w:val="22"/>
              </w:rPr>
              <w:t>。</w:t>
            </w:r>
          </w:p>
          <w:p w:rsidR="00900EB6" w:rsidRDefault="00284E79">
            <w:pPr>
              <w:widowControl/>
              <w:jc w:val="left"/>
              <w:rPr>
                <w:rFonts w:ascii="Times New Roman" w:hAnsi="Times New Roman" w:cs="Times New Roman"/>
                <w:kern w:val="0"/>
                <w:sz w:val="22"/>
              </w:rPr>
            </w:pPr>
            <w:r w:rsidRPr="00284E79">
              <w:rPr>
                <w:rFonts w:ascii="Times New Roman" w:hAnsi="Times New Roman" w:cs="Times New Roman" w:hint="eastAsia"/>
                <w:kern w:val="0"/>
                <w:sz w:val="22"/>
              </w:rPr>
              <w:t>实际在管的基金完成一个项目退出，且</w:t>
            </w:r>
            <w:r w:rsidR="00AD0A97">
              <w:rPr>
                <w:rFonts w:ascii="Times New Roman" w:hAnsi="Times New Roman" w:cs="Times New Roman" w:hint="eastAsia"/>
                <w:kern w:val="0"/>
                <w:sz w:val="22"/>
              </w:rPr>
              <w:t>无</w:t>
            </w:r>
            <w:r w:rsidRPr="00284E79">
              <w:rPr>
                <w:rFonts w:ascii="Times New Roman" w:hAnsi="Times New Roman" w:cs="Times New Roman" w:hint="eastAsia"/>
                <w:kern w:val="0"/>
                <w:sz w:val="22"/>
              </w:rPr>
              <w:t>亏损情况。</w:t>
            </w:r>
          </w:p>
        </w:tc>
        <w:tc>
          <w:tcPr>
            <w:tcW w:w="450" w:type="dxa"/>
            <w:tcBorders>
              <w:top w:val="nil"/>
              <w:left w:val="nil"/>
              <w:bottom w:val="single" w:sz="4" w:space="0" w:color="auto"/>
              <w:right w:val="single" w:sz="4" w:space="0" w:color="auto"/>
            </w:tcBorders>
            <w:shd w:val="clear" w:color="auto" w:fill="auto"/>
            <w:noWrap/>
            <w:vAlign w:val="center"/>
          </w:tcPr>
          <w:p w:rsidR="00900EB6" w:rsidRDefault="00284E79">
            <w:pPr>
              <w:widowControl/>
              <w:jc w:val="center"/>
              <w:rPr>
                <w:rFonts w:ascii="Times New Roman" w:hAnsi="Times New Roman" w:cs="Times New Roman"/>
                <w:kern w:val="0"/>
                <w:sz w:val="22"/>
              </w:rPr>
            </w:pPr>
            <w:r w:rsidRPr="00284E79">
              <w:rPr>
                <w:rFonts w:ascii="Times New Roman" w:hAnsi="Times New Roman" w:cs="Times New Roman"/>
                <w:kern w:val="0"/>
                <w:sz w:val="22"/>
              </w:rPr>
              <w:t>5</w:t>
            </w:r>
          </w:p>
        </w:tc>
        <w:tc>
          <w:tcPr>
            <w:tcW w:w="872" w:type="dxa"/>
            <w:vMerge w:val="restart"/>
            <w:tcBorders>
              <w:top w:val="nil"/>
              <w:left w:val="single" w:sz="4" w:space="0" w:color="auto"/>
              <w:bottom w:val="single" w:sz="4" w:space="0" w:color="auto"/>
              <w:right w:val="single" w:sz="4" w:space="0" w:color="auto"/>
            </w:tcBorders>
            <w:shd w:val="clear" w:color="auto" w:fill="auto"/>
            <w:noWrap/>
            <w:vAlign w:val="center"/>
          </w:tcPr>
          <w:p w:rsidR="00900EB6" w:rsidRDefault="00284E79">
            <w:pPr>
              <w:widowControl/>
              <w:jc w:val="center"/>
              <w:rPr>
                <w:rFonts w:ascii="Times New Roman" w:hAnsi="Times New Roman" w:cs="Times New Roman"/>
                <w:kern w:val="0"/>
                <w:sz w:val="22"/>
              </w:rPr>
            </w:pPr>
            <w:r w:rsidRPr="00284E79">
              <w:rPr>
                <w:rFonts w:ascii="Times New Roman" w:hAnsi="Times New Roman" w:cs="Times New Roman" w:hint="eastAsia"/>
                <w:kern w:val="0"/>
                <w:sz w:val="22"/>
              </w:rPr>
              <w:t xml:space="preserve">　</w:t>
            </w:r>
          </w:p>
        </w:tc>
      </w:tr>
      <w:tr w:rsidR="00900EB6" w:rsidTr="00900EB6">
        <w:trPr>
          <w:trHeight w:val="810"/>
        </w:trPr>
        <w:tc>
          <w:tcPr>
            <w:tcW w:w="600" w:type="dxa"/>
            <w:vMerge/>
            <w:tcBorders>
              <w:top w:val="nil"/>
              <w:left w:val="single" w:sz="4" w:space="0" w:color="auto"/>
              <w:bottom w:val="single" w:sz="4" w:space="0" w:color="auto"/>
              <w:right w:val="single" w:sz="4" w:space="0" w:color="auto"/>
            </w:tcBorders>
            <w:vAlign w:val="center"/>
          </w:tcPr>
          <w:p w:rsidR="00900EB6" w:rsidRDefault="00900EB6">
            <w:pPr>
              <w:widowControl/>
              <w:jc w:val="left"/>
              <w:rPr>
                <w:rFonts w:ascii="Times New Roman" w:hAnsi="Times New Roman" w:cs="Times New Roman"/>
                <w:kern w:val="0"/>
                <w:sz w:val="22"/>
              </w:rPr>
            </w:pPr>
          </w:p>
        </w:tc>
        <w:tc>
          <w:tcPr>
            <w:tcW w:w="1220" w:type="dxa"/>
            <w:vMerge/>
            <w:tcBorders>
              <w:top w:val="nil"/>
              <w:left w:val="single" w:sz="4" w:space="0" w:color="auto"/>
              <w:bottom w:val="single" w:sz="4" w:space="0" w:color="auto"/>
              <w:right w:val="single" w:sz="4" w:space="0" w:color="auto"/>
            </w:tcBorders>
            <w:vAlign w:val="center"/>
          </w:tcPr>
          <w:p w:rsidR="00900EB6" w:rsidRDefault="00900EB6">
            <w:pPr>
              <w:widowControl/>
              <w:jc w:val="left"/>
              <w:rPr>
                <w:rFonts w:ascii="Times New Roman" w:hAnsi="Times New Roman" w:cs="Times New Roman"/>
                <w:kern w:val="0"/>
                <w:sz w:val="22"/>
              </w:rPr>
            </w:pPr>
          </w:p>
        </w:tc>
        <w:tc>
          <w:tcPr>
            <w:tcW w:w="640" w:type="dxa"/>
            <w:vMerge/>
            <w:tcBorders>
              <w:top w:val="nil"/>
              <w:left w:val="single" w:sz="4" w:space="0" w:color="auto"/>
              <w:bottom w:val="single" w:sz="4" w:space="0" w:color="auto"/>
              <w:right w:val="single" w:sz="4" w:space="0" w:color="auto"/>
            </w:tcBorders>
            <w:vAlign w:val="center"/>
          </w:tcPr>
          <w:p w:rsidR="00900EB6" w:rsidRDefault="00900EB6">
            <w:pPr>
              <w:widowControl/>
              <w:jc w:val="left"/>
              <w:rPr>
                <w:rFonts w:ascii="Times New Roman" w:hAnsi="Times New Roman" w:cs="Times New Roman"/>
                <w:kern w:val="0"/>
                <w:sz w:val="22"/>
              </w:rPr>
            </w:pPr>
          </w:p>
        </w:tc>
        <w:tc>
          <w:tcPr>
            <w:tcW w:w="5138" w:type="dxa"/>
            <w:tcBorders>
              <w:top w:val="nil"/>
              <w:left w:val="nil"/>
              <w:bottom w:val="single" w:sz="4" w:space="0" w:color="auto"/>
              <w:right w:val="single" w:sz="4" w:space="0" w:color="auto"/>
            </w:tcBorders>
            <w:shd w:val="clear" w:color="auto" w:fill="auto"/>
            <w:vAlign w:val="center"/>
          </w:tcPr>
          <w:p w:rsidR="00900EB6" w:rsidRPr="00900EB6" w:rsidRDefault="00284E79">
            <w:pPr>
              <w:widowControl/>
              <w:tabs>
                <w:tab w:val="center" w:pos="4153"/>
                <w:tab w:val="right" w:pos="8306"/>
              </w:tabs>
              <w:snapToGrid w:val="0"/>
              <w:jc w:val="left"/>
              <w:rPr>
                <w:rFonts w:ascii="Times New Roman" w:hAnsi="Times New Roman" w:cs="Times New Roman"/>
                <w:kern w:val="0"/>
                <w:sz w:val="22"/>
              </w:rPr>
            </w:pPr>
            <w:r w:rsidRPr="00284E79">
              <w:rPr>
                <w:rFonts w:ascii="Times New Roman" w:hAnsi="Times New Roman" w:cs="Times New Roman" w:hint="eastAsia"/>
                <w:kern w:val="0"/>
                <w:sz w:val="22"/>
              </w:rPr>
              <w:t>实际在管政府产业基金不低于</w:t>
            </w:r>
            <w:r w:rsidR="00AD0A97">
              <w:rPr>
                <w:rFonts w:ascii="Times New Roman" w:hAnsi="Times New Roman" w:cs="Times New Roman" w:hint="eastAsia"/>
                <w:kern w:val="0"/>
                <w:sz w:val="22"/>
              </w:rPr>
              <w:t>两支</w:t>
            </w:r>
            <w:r w:rsidRPr="00284E79">
              <w:rPr>
                <w:rFonts w:ascii="Times New Roman" w:hAnsi="Times New Roman" w:cs="Times New Roman" w:hint="eastAsia"/>
                <w:kern w:val="0"/>
                <w:sz w:val="22"/>
              </w:rPr>
              <w:t>。</w:t>
            </w:r>
          </w:p>
          <w:p w:rsidR="00900EB6" w:rsidRDefault="00284E79">
            <w:pPr>
              <w:widowControl/>
              <w:jc w:val="left"/>
              <w:rPr>
                <w:rFonts w:ascii="Times New Roman" w:hAnsi="Times New Roman" w:cs="Times New Roman"/>
                <w:kern w:val="0"/>
                <w:sz w:val="22"/>
              </w:rPr>
            </w:pPr>
            <w:r w:rsidRPr="00284E79">
              <w:rPr>
                <w:rFonts w:ascii="Times New Roman" w:hAnsi="Times New Roman" w:cs="Times New Roman" w:hint="eastAsia"/>
                <w:kern w:val="0"/>
                <w:sz w:val="22"/>
              </w:rPr>
              <w:t>实际在管的基金完成三个项目退出，且</w:t>
            </w:r>
            <w:r w:rsidR="00AD0A97">
              <w:rPr>
                <w:rFonts w:ascii="Times New Roman" w:hAnsi="Times New Roman" w:cs="Times New Roman" w:hint="eastAsia"/>
                <w:kern w:val="0"/>
                <w:sz w:val="22"/>
              </w:rPr>
              <w:t>无</w:t>
            </w:r>
            <w:r w:rsidRPr="00284E79">
              <w:rPr>
                <w:rFonts w:ascii="Times New Roman" w:hAnsi="Times New Roman" w:cs="Times New Roman" w:hint="eastAsia"/>
                <w:kern w:val="0"/>
                <w:sz w:val="22"/>
              </w:rPr>
              <w:t>亏损情况。</w:t>
            </w:r>
          </w:p>
        </w:tc>
        <w:tc>
          <w:tcPr>
            <w:tcW w:w="450" w:type="dxa"/>
            <w:tcBorders>
              <w:top w:val="nil"/>
              <w:left w:val="nil"/>
              <w:bottom w:val="single" w:sz="4" w:space="0" w:color="auto"/>
              <w:right w:val="single" w:sz="4" w:space="0" w:color="auto"/>
            </w:tcBorders>
            <w:shd w:val="clear" w:color="auto" w:fill="auto"/>
            <w:noWrap/>
            <w:vAlign w:val="center"/>
          </w:tcPr>
          <w:p w:rsidR="00900EB6" w:rsidRDefault="00284E79">
            <w:pPr>
              <w:widowControl/>
              <w:jc w:val="center"/>
              <w:rPr>
                <w:rFonts w:ascii="Times New Roman" w:hAnsi="Times New Roman" w:cs="Times New Roman"/>
                <w:kern w:val="0"/>
                <w:sz w:val="22"/>
              </w:rPr>
            </w:pPr>
            <w:r w:rsidRPr="00284E79">
              <w:rPr>
                <w:rFonts w:ascii="Times New Roman" w:hAnsi="Times New Roman" w:cs="Times New Roman"/>
                <w:kern w:val="0"/>
                <w:sz w:val="22"/>
              </w:rPr>
              <w:t>1</w:t>
            </w:r>
            <w:r w:rsidR="00AD0A97">
              <w:rPr>
                <w:rFonts w:ascii="Times New Roman" w:hAnsi="Times New Roman" w:cs="Times New Roman" w:hint="eastAsia"/>
                <w:kern w:val="0"/>
                <w:sz w:val="22"/>
              </w:rPr>
              <w:t>5</w:t>
            </w:r>
          </w:p>
        </w:tc>
        <w:tc>
          <w:tcPr>
            <w:tcW w:w="872" w:type="dxa"/>
            <w:vMerge/>
            <w:tcBorders>
              <w:top w:val="nil"/>
              <w:left w:val="single" w:sz="4" w:space="0" w:color="auto"/>
              <w:bottom w:val="single" w:sz="4" w:space="0" w:color="auto"/>
              <w:right w:val="single" w:sz="4" w:space="0" w:color="auto"/>
            </w:tcBorders>
            <w:vAlign w:val="center"/>
          </w:tcPr>
          <w:p w:rsidR="00900EB6" w:rsidRPr="00900EB6" w:rsidRDefault="00900EB6">
            <w:pPr>
              <w:keepNext/>
              <w:keepLines/>
              <w:widowControl/>
              <w:spacing w:before="340" w:after="330" w:line="578" w:lineRule="auto"/>
              <w:jc w:val="left"/>
              <w:rPr>
                <w:rFonts w:ascii="Times New Roman" w:hAnsi="Times New Roman" w:cs="Times New Roman"/>
                <w:kern w:val="0"/>
                <w:sz w:val="22"/>
              </w:rPr>
            </w:pPr>
          </w:p>
        </w:tc>
      </w:tr>
      <w:tr w:rsidR="00900EB6" w:rsidTr="00900EB6">
        <w:trPr>
          <w:trHeight w:val="810"/>
        </w:trPr>
        <w:tc>
          <w:tcPr>
            <w:tcW w:w="600" w:type="dxa"/>
            <w:vMerge/>
            <w:tcBorders>
              <w:top w:val="nil"/>
              <w:left w:val="single" w:sz="4" w:space="0" w:color="auto"/>
              <w:bottom w:val="single" w:sz="4" w:space="0" w:color="auto"/>
              <w:right w:val="single" w:sz="4" w:space="0" w:color="auto"/>
            </w:tcBorders>
            <w:vAlign w:val="center"/>
          </w:tcPr>
          <w:p w:rsidR="00900EB6" w:rsidRDefault="00900EB6">
            <w:pPr>
              <w:widowControl/>
              <w:jc w:val="left"/>
              <w:rPr>
                <w:rFonts w:ascii="Times New Roman" w:hAnsi="Times New Roman" w:cs="Times New Roman"/>
                <w:kern w:val="0"/>
                <w:sz w:val="22"/>
              </w:rPr>
            </w:pPr>
          </w:p>
        </w:tc>
        <w:tc>
          <w:tcPr>
            <w:tcW w:w="1220" w:type="dxa"/>
            <w:vMerge/>
            <w:tcBorders>
              <w:top w:val="nil"/>
              <w:left w:val="single" w:sz="4" w:space="0" w:color="auto"/>
              <w:bottom w:val="single" w:sz="4" w:space="0" w:color="auto"/>
              <w:right w:val="single" w:sz="4" w:space="0" w:color="auto"/>
            </w:tcBorders>
            <w:vAlign w:val="center"/>
          </w:tcPr>
          <w:p w:rsidR="00900EB6" w:rsidRDefault="00900EB6">
            <w:pPr>
              <w:widowControl/>
              <w:jc w:val="left"/>
              <w:rPr>
                <w:rFonts w:ascii="Times New Roman" w:hAnsi="Times New Roman" w:cs="Times New Roman"/>
                <w:kern w:val="0"/>
                <w:sz w:val="22"/>
              </w:rPr>
            </w:pPr>
          </w:p>
        </w:tc>
        <w:tc>
          <w:tcPr>
            <w:tcW w:w="640" w:type="dxa"/>
            <w:vMerge/>
            <w:tcBorders>
              <w:top w:val="nil"/>
              <w:left w:val="single" w:sz="4" w:space="0" w:color="auto"/>
              <w:bottom w:val="single" w:sz="4" w:space="0" w:color="auto"/>
              <w:right w:val="single" w:sz="4" w:space="0" w:color="auto"/>
            </w:tcBorders>
            <w:vAlign w:val="center"/>
          </w:tcPr>
          <w:p w:rsidR="00900EB6" w:rsidRDefault="00900EB6">
            <w:pPr>
              <w:widowControl/>
              <w:jc w:val="left"/>
              <w:rPr>
                <w:rFonts w:ascii="Times New Roman" w:hAnsi="Times New Roman" w:cs="Times New Roman"/>
                <w:kern w:val="0"/>
                <w:sz w:val="22"/>
              </w:rPr>
            </w:pPr>
          </w:p>
        </w:tc>
        <w:tc>
          <w:tcPr>
            <w:tcW w:w="5138" w:type="dxa"/>
            <w:tcBorders>
              <w:top w:val="nil"/>
              <w:left w:val="nil"/>
              <w:bottom w:val="single" w:sz="4" w:space="0" w:color="auto"/>
              <w:right w:val="single" w:sz="4" w:space="0" w:color="auto"/>
            </w:tcBorders>
            <w:shd w:val="clear" w:color="auto" w:fill="auto"/>
            <w:vAlign w:val="center"/>
          </w:tcPr>
          <w:p w:rsidR="00900EB6" w:rsidRPr="00900EB6" w:rsidRDefault="00284E79">
            <w:pPr>
              <w:widowControl/>
              <w:jc w:val="left"/>
              <w:rPr>
                <w:rFonts w:ascii="Times New Roman" w:hAnsi="Times New Roman" w:cs="Times New Roman"/>
                <w:kern w:val="0"/>
                <w:sz w:val="22"/>
              </w:rPr>
            </w:pPr>
            <w:r w:rsidRPr="00284E79">
              <w:rPr>
                <w:rFonts w:ascii="Times New Roman" w:hAnsi="Times New Roman" w:cs="Times New Roman" w:hint="eastAsia"/>
                <w:kern w:val="0"/>
                <w:sz w:val="22"/>
              </w:rPr>
              <w:t>实际在管政府产业基金不低于</w:t>
            </w:r>
            <w:r w:rsidR="00AD0A97">
              <w:rPr>
                <w:rFonts w:ascii="Times New Roman" w:hAnsi="Times New Roman" w:cs="Times New Roman" w:hint="eastAsia"/>
                <w:kern w:val="0"/>
                <w:sz w:val="22"/>
              </w:rPr>
              <w:t>两支</w:t>
            </w:r>
            <w:r w:rsidRPr="00284E79">
              <w:rPr>
                <w:rFonts w:ascii="Times New Roman" w:hAnsi="Times New Roman" w:cs="Times New Roman" w:hint="eastAsia"/>
                <w:kern w:val="0"/>
                <w:sz w:val="22"/>
              </w:rPr>
              <w:t>。</w:t>
            </w:r>
          </w:p>
          <w:p w:rsidR="00900EB6" w:rsidRDefault="00284E79">
            <w:pPr>
              <w:widowControl/>
              <w:jc w:val="left"/>
              <w:rPr>
                <w:rFonts w:ascii="Times New Roman" w:hAnsi="Times New Roman" w:cs="Times New Roman"/>
                <w:kern w:val="0"/>
                <w:sz w:val="22"/>
              </w:rPr>
            </w:pPr>
            <w:r w:rsidRPr="00284E79">
              <w:rPr>
                <w:rFonts w:ascii="Times New Roman" w:hAnsi="Times New Roman" w:cs="Times New Roman" w:hint="eastAsia"/>
                <w:kern w:val="0"/>
                <w:sz w:val="22"/>
              </w:rPr>
              <w:t>实际在管的基金完成四个项目退出，且取得较好的投资收益（至少三个年化收益率不低于</w:t>
            </w:r>
            <w:r w:rsidR="00AD0A97">
              <w:rPr>
                <w:rFonts w:ascii="Times New Roman" w:hAnsi="Times New Roman" w:cs="Times New Roman" w:hint="eastAsia"/>
                <w:kern w:val="0"/>
                <w:sz w:val="22"/>
              </w:rPr>
              <w:t>15</w:t>
            </w:r>
            <w:r w:rsidRPr="00284E79">
              <w:rPr>
                <w:rFonts w:ascii="Times New Roman" w:hAnsi="Times New Roman" w:cs="Times New Roman"/>
                <w:kern w:val="0"/>
                <w:sz w:val="22"/>
              </w:rPr>
              <w:t>%</w:t>
            </w:r>
            <w:r w:rsidRPr="00284E79">
              <w:rPr>
                <w:rFonts w:ascii="Times New Roman" w:hAnsi="Times New Roman" w:cs="Times New Roman" w:hint="eastAsia"/>
                <w:kern w:val="0"/>
                <w:sz w:val="22"/>
              </w:rPr>
              <w:t>）。</w:t>
            </w:r>
          </w:p>
        </w:tc>
        <w:tc>
          <w:tcPr>
            <w:tcW w:w="450" w:type="dxa"/>
            <w:tcBorders>
              <w:top w:val="nil"/>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hint="eastAsia"/>
                <w:kern w:val="0"/>
                <w:sz w:val="22"/>
              </w:rPr>
              <w:t>20</w:t>
            </w:r>
          </w:p>
        </w:tc>
        <w:tc>
          <w:tcPr>
            <w:tcW w:w="872" w:type="dxa"/>
            <w:vMerge/>
            <w:tcBorders>
              <w:top w:val="nil"/>
              <w:left w:val="single" w:sz="4" w:space="0" w:color="auto"/>
              <w:bottom w:val="single" w:sz="4" w:space="0" w:color="auto"/>
              <w:right w:val="single" w:sz="4" w:space="0" w:color="auto"/>
            </w:tcBorders>
            <w:vAlign w:val="center"/>
          </w:tcPr>
          <w:p w:rsidR="00900EB6" w:rsidRDefault="00900EB6">
            <w:pPr>
              <w:widowControl/>
              <w:jc w:val="left"/>
              <w:rPr>
                <w:rFonts w:ascii="Times New Roman" w:hAnsi="Times New Roman" w:cs="Times New Roman"/>
                <w:kern w:val="0"/>
                <w:sz w:val="22"/>
              </w:rPr>
            </w:pPr>
          </w:p>
        </w:tc>
      </w:tr>
      <w:tr w:rsidR="00900EB6" w:rsidTr="00900EB6">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二</w:t>
            </w:r>
          </w:p>
        </w:tc>
        <w:tc>
          <w:tcPr>
            <w:tcW w:w="1220" w:type="dxa"/>
            <w:tcBorders>
              <w:top w:val="nil"/>
              <w:left w:val="nil"/>
              <w:bottom w:val="single" w:sz="4" w:space="0" w:color="auto"/>
              <w:right w:val="single" w:sz="4" w:space="0" w:color="auto"/>
            </w:tcBorders>
            <w:shd w:val="clear" w:color="auto" w:fill="auto"/>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管理团队情况</w:t>
            </w:r>
          </w:p>
        </w:tc>
        <w:tc>
          <w:tcPr>
            <w:tcW w:w="640" w:type="dxa"/>
            <w:tcBorders>
              <w:top w:val="nil"/>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hint="eastAsia"/>
                <w:kern w:val="0"/>
                <w:sz w:val="22"/>
              </w:rPr>
              <w:t>3</w:t>
            </w:r>
            <w:r>
              <w:rPr>
                <w:rFonts w:ascii="Times New Roman" w:hAnsi="Times New Roman" w:cs="Times New Roman"/>
                <w:kern w:val="0"/>
                <w:sz w:val="22"/>
              </w:rPr>
              <w:t>5</w:t>
            </w:r>
          </w:p>
        </w:tc>
        <w:tc>
          <w:tcPr>
            <w:tcW w:w="5138" w:type="dxa"/>
            <w:tcBorders>
              <w:top w:val="nil"/>
              <w:left w:val="nil"/>
              <w:bottom w:val="single" w:sz="4" w:space="0" w:color="auto"/>
              <w:right w:val="single" w:sz="4" w:space="0" w:color="auto"/>
            </w:tcBorders>
            <w:shd w:val="clear" w:color="auto" w:fill="auto"/>
            <w:vAlign w:val="center"/>
          </w:tcPr>
          <w:p w:rsidR="00900EB6" w:rsidRDefault="00AD0A97">
            <w:pPr>
              <w:widowControl/>
              <w:jc w:val="left"/>
              <w:rPr>
                <w:rFonts w:ascii="Times New Roman" w:hAnsi="Times New Roman" w:cs="Times New Roman"/>
                <w:kern w:val="0"/>
                <w:sz w:val="22"/>
              </w:rPr>
            </w:pPr>
            <w:r>
              <w:rPr>
                <w:rFonts w:ascii="Times New Roman" w:hAnsi="Times New Roman" w:cs="Times New Roman"/>
                <w:kern w:val="0"/>
                <w:sz w:val="22"/>
              </w:rPr>
              <w:t xml:space="preserve">　</w:t>
            </w:r>
          </w:p>
        </w:tc>
        <w:tc>
          <w:tcPr>
            <w:tcW w:w="450" w:type="dxa"/>
            <w:tcBorders>
              <w:top w:val="nil"/>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 xml:space="preserve">　</w:t>
            </w:r>
          </w:p>
        </w:tc>
        <w:tc>
          <w:tcPr>
            <w:tcW w:w="872" w:type="dxa"/>
            <w:tcBorders>
              <w:top w:val="nil"/>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 xml:space="preserve">　</w:t>
            </w:r>
          </w:p>
        </w:tc>
      </w:tr>
      <w:tr w:rsidR="00900EB6" w:rsidTr="00900EB6">
        <w:trPr>
          <w:trHeight w:val="1350"/>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lastRenderedPageBreak/>
              <w:t>3</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管理团队能力</w:t>
            </w:r>
          </w:p>
        </w:tc>
        <w:tc>
          <w:tcPr>
            <w:tcW w:w="640" w:type="dxa"/>
            <w:vMerge w:val="restart"/>
            <w:tcBorders>
              <w:top w:val="nil"/>
              <w:left w:val="single" w:sz="4" w:space="0" w:color="auto"/>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10</w:t>
            </w:r>
          </w:p>
        </w:tc>
        <w:tc>
          <w:tcPr>
            <w:tcW w:w="5138" w:type="dxa"/>
            <w:tcBorders>
              <w:top w:val="nil"/>
              <w:left w:val="nil"/>
              <w:bottom w:val="single" w:sz="4" w:space="0" w:color="auto"/>
              <w:right w:val="single" w:sz="4" w:space="0" w:color="auto"/>
            </w:tcBorders>
            <w:shd w:val="clear" w:color="auto" w:fill="auto"/>
            <w:vAlign w:val="center"/>
          </w:tcPr>
          <w:p w:rsidR="00900EB6" w:rsidRDefault="00AD0A97">
            <w:pPr>
              <w:widowControl/>
              <w:jc w:val="left"/>
              <w:rPr>
                <w:rFonts w:ascii="Times New Roman" w:hAnsi="Times New Roman" w:cs="Times New Roman"/>
                <w:kern w:val="0"/>
                <w:sz w:val="22"/>
              </w:rPr>
            </w:pPr>
            <w:bookmarkStart w:id="8" w:name="RANGE!D10"/>
            <w:r>
              <w:rPr>
                <w:rFonts w:ascii="Times New Roman" w:hAnsi="Times New Roman" w:cs="Times New Roman"/>
                <w:kern w:val="0"/>
                <w:sz w:val="22"/>
              </w:rPr>
              <w:t>至少有</w:t>
            </w:r>
            <w:r>
              <w:rPr>
                <w:rFonts w:ascii="Times New Roman" w:hAnsi="Times New Roman" w:cs="Times New Roman" w:hint="eastAsia"/>
                <w:kern w:val="0"/>
                <w:sz w:val="22"/>
              </w:rPr>
              <w:t>2</w:t>
            </w:r>
            <w:r>
              <w:rPr>
                <w:rFonts w:ascii="Times New Roman" w:hAnsi="Times New Roman" w:cs="Times New Roman"/>
                <w:kern w:val="0"/>
                <w:sz w:val="22"/>
              </w:rPr>
              <w:t>名有执业资格证且具备</w:t>
            </w:r>
            <w:r>
              <w:rPr>
                <w:rFonts w:ascii="Times New Roman" w:hAnsi="Times New Roman" w:cs="Times New Roman" w:hint="eastAsia"/>
                <w:kern w:val="0"/>
                <w:sz w:val="22"/>
              </w:rPr>
              <w:t>4</w:t>
            </w:r>
            <w:r>
              <w:rPr>
                <w:rFonts w:ascii="Times New Roman" w:hAnsi="Times New Roman" w:cs="Times New Roman"/>
                <w:kern w:val="0"/>
                <w:sz w:val="22"/>
              </w:rPr>
              <w:t>年以上股权投资管理</w:t>
            </w:r>
            <w:r>
              <w:rPr>
                <w:rFonts w:ascii="Times New Roman" w:hAnsi="Times New Roman" w:cs="Times New Roman" w:hint="eastAsia"/>
                <w:kern w:val="0"/>
                <w:sz w:val="22"/>
              </w:rPr>
              <w:t>相关</w:t>
            </w:r>
            <w:r>
              <w:rPr>
                <w:rFonts w:ascii="Times New Roman" w:hAnsi="Times New Roman" w:cs="Times New Roman"/>
                <w:kern w:val="0"/>
                <w:sz w:val="22"/>
              </w:rPr>
              <w:t>经验的管理人员，管理团队承诺团队关键人在基金运作期间不中途退出，且管理团队的负责人，具有</w:t>
            </w:r>
            <w:r>
              <w:rPr>
                <w:rFonts w:ascii="Times New Roman" w:hAnsi="Times New Roman" w:cs="Times New Roman" w:hint="eastAsia"/>
                <w:kern w:val="0"/>
                <w:sz w:val="22"/>
              </w:rPr>
              <w:t>6</w:t>
            </w:r>
            <w:r>
              <w:rPr>
                <w:rFonts w:ascii="Times New Roman" w:hAnsi="Times New Roman" w:cs="Times New Roman"/>
                <w:kern w:val="0"/>
                <w:sz w:val="22"/>
              </w:rPr>
              <w:t>年以上</w:t>
            </w:r>
            <w:r>
              <w:rPr>
                <w:rFonts w:ascii="Times New Roman" w:hAnsi="Times New Roman" w:cs="Times New Roman" w:hint="eastAsia"/>
                <w:kern w:val="0"/>
                <w:sz w:val="22"/>
              </w:rPr>
              <w:t>投资</w:t>
            </w:r>
            <w:r>
              <w:rPr>
                <w:rFonts w:ascii="Times New Roman" w:hAnsi="Times New Roman" w:cs="Times New Roman"/>
                <w:kern w:val="0"/>
                <w:sz w:val="22"/>
              </w:rPr>
              <w:t>相关从业经验。</w:t>
            </w:r>
            <w:bookmarkEnd w:id="8"/>
          </w:p>
        </w:tc>
        <w:tc>
          <w:tcPr>
            <w:tcW w:w="450" w:type="dxa"/>
            <w:tcBorders>
              <w:top w:val="nil"/>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5</w:t>
            </w:r>
          </w:p>
        </w:tc>
        <w:tc>
          <w:tcPr>
            <w:tcW w:w="872" w:type="dxa"/>
            <w:vMerge w:val="restart"/>
            <w:tcBorders>
              <w:top w:val="nil"/>
              <w:left w:val="single" w:sz="4" w:space="0" w:color="auto"/>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 xml:space="preserve">　</w:t>
            </w:r>
          </w:p>
        </w:tc>
      </w:tr>
      <w:tr w:rsidR="00900EB6" w:rsidTr="00900EB6">
        <w:trPr>
          <w:trHeight w:val="1350"/>
        </w:trPr>
        <w:tc>
          <w:tcPr>
            <w:tcW w:w="600" w:type="dxa"/>
            <w:vMerge/>
            <w:tcBorders>
              <w:top w:val="nil"/>
              <w:left w:val="single" w:sz="4" w:space="0" w:color="auto"/>
              <w:bottom w:val="single" w:sz="4" w:space="0" w:color="auto"/>
              <w:right w:val="single" w:sz="4" w:space="0" w:color="auto"/>
            </w:tcBorders>
            <w:vAlign w:val="center"/>
          </w:tcPr>
          <w:p w:rsidR="00900EB6" w:rsidRDefault="00900EB6">
            <w:pPr>
              <w:widowControl/>
              <w:jc w:val="left"/>
              <w:rPr>
                <w:rFonts w:ascii="Times New Roman" w:hAnsi="Times New Roman" w:cs="Times New Roman"/>
                <w:kern w:val="0"/>
                <w:sz w:val="22"/>
              </w:rPr>
            </w:pPr>
          </w:p>
        </w:tc>
        <w:tc>
          <w:tcPr>
            <w:tcW w:w="1220" w:type="dxa"/>
            <w:vMerge/>
            <w:tcBorders>
              <w:top w:val="nil"/>
              <w:left w:val="single" w:sz="4" w:space="0" w:color="auto"/>
              <w:bottom w:val="single" w:sz="4" w:space="0" w:color="auto"/>
              <w:right w:val="single" w:sz="4" w:space="0" w:color="auto"/>
            </w:tcBorders>
            <w:vAlign w:val="center"/>
          </w:tcPr>
          <w:p w:rsidR="00900EB6" w:rsidRDefault="00900EB6">
            <w:pPr>
              <w:widowControl/>
              <w:jc w:val="left"/>
              <w:rPr>
                <w:rFonts w:ascii="Times New Roman" w:hAnsi="Times New Roman" w:cs="Times New Roman"/>
                <w:kern w:val="0"/>
                <w:sz w:val="22"/>
              </w:rPr>
            </w:pPr>
          </w:p>
        </w:tc>
        <w:tc>
          <w:tcPr>
            <w:tcW w:w="640" w:type="dxa"/>
            <w:vMerge/>
            <w:tcBorders>
              <w:top w:val="nil"/>
              <w:left w:val="single" w:sz="4" w:space="0" w:color="auto"/>
              <w:bottom w:val="single" w:sz="4" w:space="0" w:color="auto"/>
              <w:right w:val="single" w:sz="4" w:space="0" w:color="auto"/>
            </w:tcBorders>
            <w:vAlign w:val="center"/>
          </w:tcPr>
          <w:p w:rsidR="00900EB6" w:rsidRDefault="00900EB6">
            <w:pPr>
              <w:widowControl/>
              <w:jc w:val="left"/>
              <w:rPr>
                <w:rFonts w:ascii="Times New Roman" w:hAnsi="Times New Roman" w:cs="Times New Roman"/>
                <w:kern w:val="0"/>
                <w:sz w:val="22"/>
              </w:rPr>
            </w:pPr>
          </w:p>
        </w:tc>
        <w:tc>
          <w:tcPr>
            <w:tcW w:w="5138" w:type="dxa"/>
            <w:tcBorders>
              <w:top w:val="nil"/>
              <w:left w:val="nil"/>
              <w:bottom w:val="single" w:sz="4" w:space="0" w:color="auto"/>
              <w:right w:val="single" w:sz="4" w:space="0" w:color="auto"/>
            </w:tcBorders>
            <w:shd w:val="clear" w:color="auto" w:fill="auto"/>
            <w:vAlign w:val="center"/>
          </w:tcPr>
          <w:p w:rsidR="00900EB6" w:rsidRDefault="00AD0A97">
            <w:pPr>
              <w:widowControl/>
              <w:jc w:val="left"/>
              <w:rPr>
                <w:rFonts w:ascii="Times New Roman" w:hAnsi="Times New Roman" w:cs="Times New Roman"/>
                <w:kern w:val="0"/>
                <w:sz w:val="22"/>
              </w:rPr>
            </w:pPr>
            <w:r>
              <w:rPr>
                <w:rFonts w:ascii="Times New Roman" w:hAnsi="Times New Roman" w:cs="Times New Roman"/>
                <w:kern w:val="0"/>
                <w:sz w:val="22"/>
              </w:rPr>
              <w:t>至少有</w:t>
            </w:r>
            <w:r>
              <w:rPr>
                <w:rFonts w:ascii="Times New Roman" w:hAnsi="Times New Roman" w:cs="Times New Roman"/>
                <w:kern w:val="0"/>
                <w:sz w:val="22"/>
              </w:rPr>
              <w:t>3</w:t>
            </w:r>
            <w:r>
              <w:rPr>
                <w:rFonts w:ascii="Times New Roman" w:hAnsi="Times New Roman" w:cs="Times New Roman"/>
                <w:kern w:val="0"/>
                <w:sz w:val="22"/>
              </w:rPr>
              <w:t>名有执业资格证且具备</w:t>
            </w:r>
            <w:r>
              <w:rPr>
                <w:rFonts w:ascii="Times New Roman" w:hAnsi="Times New Roman" w:cs="Times New Roman" w:hint="eastAsia"/>
                <w:kern w:val="0"/>
                <w:sz w:val="22"/>
              </w:rPr>
              <w:t>6</w:t>
            </w:r>
            <w:r>
              <w:rPr>
                <w:rFonts w:ascii="Times New Roman" w:hAnsi="Times New Roman" w:cs="Times New Roman"/>
                <w:kern w:val="0"/>
                <w:sz w:val="22"/>
              </w:rPr>
              <w:t>年以上股权投资管理</w:t>
            </w:r>
            <w:r>
              <w:rPr>
                <w:rFonts w:ascii="Times New Roman" w:hAnsi="Times New Roman" w:cs="Times New Roman" w:hint="eastAsia"/>
                <w:kern w:val="0"/>
                <w:sz w:val="22"/>
              </w:rPr>
              <w:t>相关</w:t>
            </w:r>
            <w:r>
              <w:rPr>
                <w:rFonts w:ascii="Times New Roman" w:hAnsi="Times New Roman" w:cs="Times New Roman"/>
                <w:kern w:val="0"/>
                <w:sz w:val="22"/>
              </w:rPr>
              <w:t>经验的管理人员，管理团队承诺团队关键人在基金运作期间不中途退出，且管理团队的负责人，具有</w:t>
            </w:r>
            <w:r>
              <w:rPr>
                <w:rFonts w:ascii="Times New Roman" w:hAnsi="Times New Roman" w:cs="Times New Roman"/>
                <w:kern w:val="0"/>
                <w:sz w:val="22"/>
              </w:rPr>
              <w:t>8</w:t>
            </w:r>
            <w:r>
              <w:rPr>
                <w:rFonts w:ascii="Times New Roman" w:hAnsi="Times New Roman" w:cs="Times New Roman"/>
                <w:kern w:val="0"/>
                <w:sz w:val="22"/>
              </w:rPr>
              <w:t>年以上</w:t>
            </w:r>
            <w:r>
              <w:rPr>
                <w:rFonts w:ascii="Times New Roman" w:hAnsi="Times New Roman" w:cs="Times New Roman" w:hint="eastAsia"/>
                <w:kern w:val="0"/>
                <w:sz w:val="22"/>
              </w:rPr>
              <w:t>投资</w:t>
            </w:r>
            <w:r>
              <w:rPr>
                <w:rFonts w:ascii="Times New Roman" w:hAnsi="Times New Roman" w:cs="Times New Roman"/>
                <w:kern w:val="0"/>
                <w:sz w:val="22"/>
              </w:rPr>
              <w:t>相关从业经验。</w:t>
            </w:r>
          </w:p>
        </w:tc>
        <w:tc>
          <w:tcPr>
            <w:tcW w:w="450" w:type="dxa"/>
            <w:tcBorders>
              <w:top w:val="nil"/>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10</w:t>
            </w:r>
          </w:p>
        </w:tc>
        <w:tc>
          <w:tcPr>
            <w:tcW w:w="872" w:type="dxa"/>
            <w:vMerge/>
            <w:tcBorders>
              <w:top w:val="nil"/>
              <w:left w:val="single" w:sz="4" w:space="0" w:color="auto"/>
              <w:bottom w:val="single" w:sz="4" w:space="0" w:color="auto"/>
              <w:right w:val="single" w:sz="4" w:space="0" w:color="auto"/>
            </w:tcBorders>
            <w:vAlign w:val="center"/>
          </w:tcPr>
          <w:p w:rsidR="00900EB6" w:rsidRDefault="00900EB6">
            <w:pPr>
              <w:widowControl/>
              <w:jc w:val="left"/>
              <w:rPr>
                <w:rFonts w:ascii="Times New Roman" w:hAnsi="Times New Roman" w:cs="Times New Roman"/>
                <w:kern w:val="0"/>
                <w:sz w:val="22"/>
              </w:rPr>
            </w:pPr>
          </w:p>
        </w:tc>
      </w:tr>
      <w:tr w:rsidR="00900EB6" w:rsidTr="00900EB6">
        <w:trPr>
          <w:trHeight w:val="388"/>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4</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管理团队业绩</w:t>
            </w:r>
          </w:p>
        </w:tc>
        <w:tc>
          <w:tcPr>
            <w:tcW w:w="640" w:type="dxa"/>
            <w:vMerge w:val="restart"/>
            <w:tcBorders>
              <w:top w:val="nil"/>
              <w:left w:val="single" w:sz="4" w:space="0" w:color="auto"/>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hint="eastAsia"/>
                <w:kern w:val="0"/>
                <w:sz w:val="22"/>
              </w:rPr>
              <w:t>2</w:t>
            </w:r>
            <w:r>
              <w:rPr>
                <w:rFonts w:ascii="Times New Roman" w:hAnsi="Times New Roman" w:cs="Times New Roman"/>
                <w:kern w:val="0"/>
                <w:sz w:val="22"/>
              </w:rPr>
              <w:t>5</w:t>
            </w:r>
          </w:p>
        </w:tc>
        <w:tc>
          <w:tcPr>
            <w:tcW w:w="5138" w:type="dxa"/>
            <w:tcBorders>
              <w:top w:val="nil"/>
              <w:left w:val="nil"/>
              <w:bottom w:val="single" w:sz="4" w:space="0" w:color="auto"/>
              <w:right w:val="single" w:sz="4" w:space="0" w:color="auto"/>
            </w:tcBorders>
            <w:shd w:val="clear" w:color="auto" w:fill="auto"/>
            <w:vAlign w:val="center"/>
          </w:tcPr>
          <w:p w:rsidR="00900EB6" w:rsidRDefault="00AD0A97">
            <w:pPr>
              <w:widowControl/>
              <w:jc w:val="left"/>
              <w:rPr>
                <w:rFonts w:ascii="Times New Roman" w:hAnsi="Times New Roman" w:cs="Times New Roman"/>
                <w:kern w:val="0"/>
                <w:sz w:val="22"/>
              </w:rPr>
            </w:pPr>
            <w:r>
              <w:rPr>
                <w:rFonts w:ascii="Times New Roman" w:hAnsi="Times New Roman" w:cs="Times New Roman"/>
                <w:kern w:val="0"/>
                <w:sz w:val="22"/>
              </w:rPr>
              <w:t>管理团队的负责人具有管理政府产业基金、母基金的相关经验，实际</w:t>
            </w:r>
            <w:r>
              <w:rPr>
                <w:rFonts w:ascii="Times New Roman" w:hAnsi="Times New Roman" w:cs="Times New Roman" w:hint="eastAsia"/>
                <w:kern w:val="0"/>
                <w:sz w:val="22"/>
              </w:rPr>
              <w:t>在管</w:t>
            </w:r>
            <w:r>
              <w:rPr>
                <w:rFonts w:ascii="Times New Roman" w:hAnsi="Times New Roman" w:cs="Times New Roman"/>
                <w:kern w:val="0"/>
                <w:sz w:val="22"/>
              </w:rPr>
              <w:t>基金总规模不低于</w:t>
            </w:r>
            <w:r>
              <w:rPr>
                <w:rFonts w:ascii="Times New Roman" w:hAnsi="Times New Roman" w:cs="Times New Roman" w:hint="eastAsia"/>
                <w:kern w:val="0"/>
                <w:sz w:val="22"/>
              </w:rPr>
              <w:t>5</w:t>
            </w:r>
            <w:r>
              <w:rPr>
                <w:rFonts w:ascii="Times New Roman" w:hAnsi="Times New Roman" w:cs="Times New Roman"/>
                <w:kern w:val="0"/>
                <w:sz w:val="22"/>
              </w:rPr>
              <w:t>亿元</w:t>
            </w:r>
            <w:r>
              <w:rPr>
                <w:rFonts w:ascii="Times New Roman" w:hAnsi="Times New Roman" w:cs="Times New Roman" w:hint="eastAsia"/>
                <w:kern w:val="0"/>
                <w:sz w:val="22"/>
              </w:rPr>
              <w:t>（不含已清算或退出的基金规模）。</w:t>
            </w:r>
          </w:p>
          <w:p w:rsidR="00900EB6" w:rsidRDefault="00AD0A97">
            <w:pPr>
              <w:widowControl/>
              <w:jc w:val="left"/>
              <w:rPr>
                <w:rFonts w:ascii="Times New Roman" w:hAnsi="Times New Roman" w:cs="Times New Roman"/>
                <w:kern w:val="0"/>
                <w:sz w:val="22"/>
              </w:rPr>
            </w:pPr>
            <w:r>
              <w:rPr>
                <w:rFonts w:ascii="Times New Roman" w:hAnsi="Times New Roman" w:cs="Times New Roman" w:hint="eastAsia"/>
                <w:kern w:val="0"/>
                <w:sz w:val="22"/>
              </w:rPr>
              <w:t>5</w:t>
            </w:r>
            <w:r>
              <w:rPr>
                <w:rFonts w:ascii="Times New Roman" w:hAnsi="Times New Roman" w:cs="Times New Roman" w:hint="eastAsia"/>
                <w:kern w:val="0"/>
                <w:sz w:val="22"/>
              </w:rPr>
              <w:t>亿元</w:t>
            </w:r>
            <w:r>
              <w:rPr>
                <w:rFonts w:ascii="宋体" w:eastAsia="宋体" w:hAnsi="宋体" w:cs="宋体" w:hint="eastAsia"/>
                <w:kern w:val="0"/>
                <w:sz w:val="22"/>
              </w:rPr>
              <w:t>≦</w:t>
            </w:r>
            <w:r>
              <w:rPr>
                <w:rFonts w:ascii="Times New Roman" w:hAnsi="Times New Roman" w:cs="Times New Roman" w:hint="eastAsia"/>
                <w:kern w:val="0"/>
                <w:sz w:val="22"/>
              </w:rPr>
              <w:t>在管基金规模</w:t>
            </w:r>
            <w:r>
              <w:rPr>
                <w:rFonts w:ascii="宋体" w:eastAsia="宋体" w:hAnsi="宋体" w:cs="宋体" w:hint="eastAsia"/>
                <w:kern w:val="0"/>
                <w:sz w:val="22"/>
              </w:rPr>
              <w:t>≦</w:t>
            </w:r>
            <w:r>
              <w:rPr>
                <w:rFonts w:ascii="Times New Roman" w:hAnsi="Times New Roman" w:cs="Times New Roman" w:hint="eastAsia"/>
                <w:kern w:val="0"/>
                <w:sz w:val="22"/>
              </w:rPr>
              <w:t>15</w:t>
            </w:r>
            <w:r>
              <w:rPr>
                <w:rFonts w:ascii="Times New Roman" w:hAnsi="Times New Roman" w:cs="Times New Roman" w:hint="eastAsia"/>
                <w:kern w:val="0"/>
                <w:sz w:val="22"/>
              </w:rPr>
              <w:t>亿元，得</w:t>
            </w:r>
            <w:r>
              <w:rPr>
                <w:rFonts w:ascii="Times New Roman" w:hAnsi="Times New Roman" w:cs="Times New Roman" w:hint="eastAsia"/>
                <w:kern w:val="0"/>
                <w:sz w:val="22"/>
              </w:rPr>
              <w:t>3</w:t>
            </w:r>
            <w:r>
              <w:rPr>
                <w:rFonts w:ascii="Times New Roman" w:hAnsi="Times New Roman" w:cs="Times New Roman" w:hint="eastAsia"/>
                <w:kern w:val="0"/>
                <w:sz w:val="22"/>
              </w:rPr>
              <w:t>分；</w:t>
            </w:r>
          </w:p>
          <w:p w:rsidR="00900EB6" w:rsidRDefault="00AD0A97">
            <w:pPr>
              <w:widowControl/>
              <w:jc w:val="left"/>
              <w:rPr>
                <w:rFonts w:ascii="Times New Roman" w:hAnsi="Times New Roman" w:cs="Times New Roman"/>
                <w:kern w:val="0"/>
                <w:sz w:val="22"/>
              </w:rPr>
            </w:pPr>
            <w:r>
              <w:rPr>
                <w:rFonts w:ascii="Times New Roman" w:hAnsi="Times New Roman" w:cs="Times New Roman" w:hint="eastAsia"/>
                <w:kern w:val="0"/>
                <w:sz w:val="22"/>
              </w:rPr>
              <w:t>15</w:t>
            </w:r>
            <w:r>
              <w:rPr>
                <w:rFonts w:ascii="Times New Roman" w:hAnsi="Times New Roman" w:cs="Times New Roman" w:hint="eastAsia"/>
                <w:kern w:val="0"/>
                <w:sz w:val="22"/>
              </w:rPr>
              <w:t>亿元</w:t>
            </w:r>
            <w:r>
              <w:rPr>
                <w:rFonts w:ascii="Times New Roman" w:hAnsi="Times New Roman" w:cs="Times New Roman" w:hint="eastAsia"/>
                <w:kern w:val="0"/>
                <w:sz w:val="22"/>
              </w:rPr>
              <w:t>&lt;</w:t>
            </w:r>
            <w:r>
              <w:rPr>
                <w:rFonts w:ascii="Times New Roman" w:hAnsi="Times New Roman" w:cs="Times New Roman" w:hint="eastAsia"/>
                <w:kern w:val="0"/>
                <w:sz w:val="22"/>
              </w:rPr>
              <w:t>在管基金规模</w:t>
            </w:r>
            <w:r>
              <w:rPr>
                <w:rFonts w:ascii="宋体" w:eastAsia="宋体" w:hAnsi="宋体" w:cs="宋体" w:hint="eastAsia"/>
                <w:kern w:val="0"/>
                <w:sz w:val="22"/>
              </w:rPr>
              <w:t>≦</w:t>
            </w:r>
            <w:r>
              <w:rPr>
                <w:rFonts w:ascii="Times New Roman" w:hAnsi="Times New Roman" w:cs="Times New Roman" w:hint="eastAsia"/>
                <w:kern w:val="0"/>
                <w:sz w:val="22"/>
              </w:rPr>
              <w:t>30</w:t>
            </w:r>
            <w:r>
              <w:rPr>
                <w:rFonts w:ascii="Times New Roman" w:hAnsi="Times New Roman" w:cs="Times New Roman" w:hint="eastAsia"/>
                <w:kern w:val="0"/>
                <w:sz w:val="22"/>
              </w:rPr>
              <w:t>亿元，得</w:t>
            </w:r>
            <w:r>
              <w:rPr>
                <w:rFonts w:ascii="Times New Roman" w:hAnsi="Times New Roman" w:cs="Times New Roman" w:hint="eastAsia"/>
                <w:kern w:val="0"/>
                <w:sz w:val="22"/>
              </w:rPr>
              <w:t>5</w:t>
            </w:r>
            <w:r>
              <w:rPr>
                <w:rFonts w:ascii="Times New Roman" w:hAnsi="Times New Roman" w:cs="Times New Roman" w:hint="eastAsia"/>
                <w:kern w:val="0"/>
                <w:sz w:val="22"/>
              </w:rPr>
              <w:t>分；</w:t>
            </w:r>
          </w:p>
          <w:p w:rsidR="00900EB6" w:rsidRDefault="00AD0A97">
            <w:pPr>
              <w:widowControl/>
              <w:jc w:val="left"/>
              <w:rPr>
                <w:rFonts w:ascii="Times New Roman" w:hAnsi="Times New Roman" w:cs="Times New Roman"/>
                <w:kern w:val="0"/>
                <w:sz w:val="22"/>
              </w:rPr>
            </w:pPr>
            <w:r>
              <w:rPr>
                <w:rFonts w:ascii="Times New Roman" w:hAnsi="Times New Roman" w:cs="Times New Roman" w:hint="eastAsia"/>
                <w:kern w:val="0"/>
                <w:sz w:val="22"/>
              </w:rPr>
              <w:t>30</w:t>
            </w:r>
            <w:r>
              <w:rPr>
                <w:rFonts w:ascii="Times New Roman" w:hAnsi="Times New Roman" w:cs="Times New Roman" w:hint="eastAsia"/>
                <w:kern w:val="0"/>
                <w:sz w:val="22"/>
              </w:rPr>
              <w:t>亿元</w:t>
            </w:r>
            <w:r>
              <w:rPr>
                <w:rFonts w:ascii="Times New Roman" w:hAnsi="Times New Roman" w:cs="Times New Roman" w:hint="eastAsia"/>
                <w:kern w:val="0"/>
                <w:sz w:val="22"/>
              </w:rPr>
              <w:t>&lt;</w:t>
            </w:r>
            <w:r>
              <w:rPr>
                <w:rFonts w:ascii="Times New Roman" w:hAnsi="Times New Roman" w:cs="Times New Roman" w:hint="eastAsia"/>
                <w:kern w:val="0"/>
                <w:sz w:val="22"/>
              </w:rPr>
              <w:t>在管基金规模，得</w:t>
            </w:r>
            <w:r>
              <w:rPr>
                <w:rFonts w:ascii="Times New Roman" w:hAnsi="Times New Roman" w:cs="Times New Roman" w:hint="eastAsia"/>
                <w:kern w:val="0"/>
                <w:sz w:val="22"/>
              </w:rPr>
              <w:t>10</w:t>
            </w:r>
            <w:r>
              <w:rPr>
                <w:rFonts w:ascii="Times New Roman" w:hAnsi="Times New Roman" w:cs="Times New Roman" w:hint="eastAsia"/>
                <w:kern w:val="0"/>
                <w:sz w:val="22"/>
              </w:rPr>
              <w:t>分。</w:t>
            </w:r>
          </w:p>
        </w:tc>
        <w:tc>
          <w:tcPr>
            <w:tcW w:w="450" w:type="dxa"/>
            <w:tcBorders>
              <w:top w:val="nil"/>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hint="eastAsia"/>
                <w:kern w:val="0"/>
                <w:sz w:val="22"/>
              </w:rPr>
              <w:t>10</w:t>
            </w:r>
          </w:p>
        </w:tc>
        <w:tc>
          <w:tcPr>
            <w:tcW w:w="872" w:type="dxa"/>
            <w:vMerge w:val="restart"/>
            <w:tcBorders>
              <w:top w:val="nil"/>
              <w:left w:val="single" w:sz="4" w:space="0" w:color="auto"/>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 xml:space="preserve">　</w:t>
            </w:r>
          </w:p>
        </w:tc>
      </w:tr>
      <w:tr w:rsidR="00900EB6" w:rsidTr="00900EB6">
        <w:trPr>
          <w:trHeight w:val="540"/>
        </w:trPr>
        <w:tc>
          <w:tcPr>
            <w:tcW w:w="600" w:type="dxa"/>
            <w:vMerge/>
            <w:tcBorders>
              <w:top w:val="nil"/>
              <w:left w:val="single" w:sz="4" w:space="0" w:color="auto"/>
              <w:bottom w:val="single" w:sz="4" w:space="0" w:color="auto"/>
              <w:right w:val="single" w:sz="4" w:space="0" w:color="auto"/>
            </w:tcBorders>
            <w:vAlign w:val="center"/>
          </w:tcPr>
          <w:p w:rsidR="00900EB6" w:rsidRDefault="00900EB6">
            <w:pPr>
              <w:widowControl/>
              <w:jc w:val="left"/>
              <w:rPr>
                <w:rFonts w:ascii="Times New Roman" w:hAnsi="Times New Roman" w:cs="Times New Roman"/>
                <w:kern w:val="0"/>
                <w:sz w:val="22"/>
              </w:rPr>
            </w:pPr>
          </w:p>
        </w:tc>
        <w:tc>
          <w:tcPr>
            <w:tcW w:w="1220" w:type="dxa"/>
            <w:vMerge/>
            <w:tcBorders>
              <w:top w:val="nil"/>
              <w:left w:val="single" w:sz="4" w:space="0" w:color="auto"/>
              <w:bottom w:val="single" w:sz="4" w:space="0" w:color="auto"/>
              <w:right w:val="single" w:sz="4" w:space="0" w:color="auto"/>
            </w:tcBorders>
            <w:vAlign w:val="center"/>
          </w:tcPr>
          <w:p w:rsidR="00900EB6" w:rsidRDefault="00900EB6">
            <w:pPr>
              <w:widowControl/>
              <w:jc w:val="left"/>
              <w:rPr>
                <w:rFonts w:ascii="Times New Roman" w:hAnsi="Times New Roman" w:cs="Times New Roman"/>
                <w:kern w:val="0"/>
                <w:sz w:val="22"/>
              </w:rPr>
            </w:pPr>
          </w:p>
        </w:tc>
        <w:tc>
          <w:tcPr>
            <w:tcW w:w="640" w:type="dxa"/>
            <w:vMerge/>
            <w:tcBorders>
              <w:top w:val="nil"/>
              <w:left w:val="single" w:sz="4" w:space="0" w:color="auto"/>
              <w:bottom w:val="single" w:sz="4" w:space="0" w:color="auto"/>
              <w:right w:val="single" w:sz="4" w:space="0" w:color="auto"/>
            </w:tcBorders>
            <w:vAlign w:val="center"/>
          </w:tcPr>
          <w:p w:rsidR="00900EB6" w:rsidRDefault="00900EB6">
            <w:pPr>
              <w:widowControl/>
              <w:jc w:val="left"/>
              <w:rPr>
                <w:rFonts w:ascii="Times New Roman" w:hAnsi="Times New Roman" w:cs="Times New Roman"/>
                <w:kern w:val="0"/>
                <w:sz w:val="22"/>
              </w:rPr>
            </w:pPr>
          </w:p>
        </w:tc>
        <w:tc>
          <w:tcPr>
            <w:tcW w:w="5138" w:type="dxa"/>
            <w:tcBorders>
              <w:top w:val="nil"/>
              <w:left w:val="nil"/>
              <w:bottom w:val="single" w:sz="4" w:space="0" w:color="auto"/>
              <w:right w:val="single" w:sz="4" w:space="0" w:color="auto"/>
            </w:tcBorders>
            <w:shd w:val="clear" w:color="auto" w:fill="auto"/>
            <w:vAlign w:val="center"/>
          </w:tcPr>
          <w:p w:rsidR="00900EB6" w:rsidRDefault="00AD0A97">
            <w:pPr>
              <w:widowControl/>
              <w:jc w:val="left"/>
              <w:rPr>
                <w:rFonts w:ascii="Times New Roman" w:hAnsi="Times New Roman" w:cs="Times New Roman"/>
                <w:kern w:val="0"/>
                <w:sz w:val="22"/>
              </w:rPr>
            </w:pPr>
            <w:r>
              <w:rPr>
                <w:rFonts w:ascii="Times New Roman" w:hAnsi="Times New Roman" w:cs="Times New Roman"/>
                <w:kern w:val="0"/>
                <w:sz w:val="22"/>
              </w:rPr>
              <w:t>管理团队实际</w:t>
            </w:r>
            <w:r>
              <w:rPr>
                <w:rFonts w:ascii="Times New Roman" w:hAnsi="Times New Roman" w:cs="Times New Roman" w:hint="eastAsia"/>
                <w:kern w:val="0"/>
                <w:sz w:val="22"/>
              </w:rPr>
              <w:t>主导或</w:t>
            </w:r>
            <w:r>
              <w:rPr>
                <w:rFonts w:ascii="Times New Roman" w:hAnsi="Times New Roman" w:cs="Times New Roman"/>
                <w:kern w:val="0"/>
                <w:sz w:val="22"/>
              </w:rPr>
              <w:t>管理基金</w:t>
            </w:r>
            <w:r>
              <w:rPr>
                <w:rFonts w:ascii="Times New Roman" w:hAnsi="Times New Roman" w:cs="Times New Roman" w:hint="eastAsia"/>
                <w:kern w:val="0"/>
                <w:sz w:val="22"/>
              </w:rPr>
              <w:t>至少有</w:t>
            </w:r>
            <w:r>
              <w:rPr>
                <w:rFonts w:ascii="Times New Roman" w:hAnsi="Times New Roman" w:cs="Times New Roman" w:hint="eastAsia"/>
                <w:kern w:val="0"/>
                <w:sz w:val="22"/>
              </w:rPr>
              <w:t>1</w:t>
            </w:r>
            <w:r>
              <w:rPr>
                <w:rFonts w:ascii="Times New Roman" w:hAnsi="Times New Roman" w:cs="Times New Roman" w:hint="eastAsia"/>
                <w:kern w:val="0"/>
                <w:sz w:val="22"/>
              </w:rPr>
              <w:t>个项目完成退出或</w:t>
            </w:r>
            <w:r>
              <w:rPr>
                <w:rFonts w:ascii="Times New Roman" w:hAnsi="Times New Roman" w:cs="Times New Roman" w:hint="eastAsia"/>
                <w:kern w:val="0"/>
                <w:sz w:val="22"/>
              </w:rPr>
              <w:t>IPO</w:t>
            </w:r>
            <w:r>
              <w:rPr>
                <w:rFonts w:ascii="Times New Roman" w:hAnsi="Times New Roman" w:cs="Times New Roman" w:hint="eastAsia"/>
                <w:kern w:val="0"/>
                <w:sz w:val="22"/>
              </w:rPr>
              <w:t>成功上市。</w:t>
            </w:r>
          </w:p>
          <w:p w:rsidR="00900EB6" w:rsidRDefault="00AD0A97">
            <w:pPr>
              <w:widowControl/>
              <w:jc w:val="left"/>
              <w:rPr>
                <w:rFonts w:ascii="Times New Roman" w:hAnsi="Times New Roman" w:cs="Times New Roman"/>
                <w:kern w:val="0"/>
                <w:sz w:val="22"/>
              </w:rPr>
            </w:pPr>
            <w:r>
              <w:rPr>
                <w:rFonts w:ascii="Times New Roman" w:hAnsi="Times New Roman" w:cs="Times New Roman" w:hint="eastAsia"/>
                <w:kern w:val="0"/>
                <w:sz w:val="22"/>
              </w:rPr>
              <w:t>完成</w:t>
            </w:r>
            <w:r>
              <w:rPr>
                <w:rFonts w:ascii="Times New Roman" w:hAnsi="Times New Roman" w:cs="Times New Roman" w:hint="eastAsia"/>
                <w:kern w:val="0"/>
                <w:sz w:val="22"/>
              </w:rPr>
              <w:t>1</w:t>
            </w:r>
            <w:r>
              <w:rPr>
                <w:rFonts w:ascii="Times New Roman" w:hAnsi="Times New Roman" w:cs="Times New Roman" w:hint="eastAsia"/>
                <w:kern w:val="0"/>
                <w:sz w:val="22"/>
              </w:rPr>
              <w:t>个得</w:t>
            </w:r>
            <w:r>
              <w:rPr>
                <w:rFonts w:ascii="Times New Roman" w:hAnsi="Times New Roman" w:cs="Times New Roman" w:hint="eastAsia"/>
                <w:kern w:val="0"/>
                <w:sz w:val="22"/>
              </w:rPr>
              <w:t>3</w:t>
            </w:r>
            <w:r>
              <w:rPr>
                <w:rFonts w:ascii="Times New Roman" w:hAnsi="Times New Roman" w:cs="Times New Roman" w:hint="eastAsia"/>
                <w:kern w:val="0"/>
                <w:sz w:val="22"/>
              </w:rPr>
              <w:t>分，</w:t>
            </w:r>
            <w:r>
              <w:rPr>
                <w:rFonts w:ascii="Times New Roman" w:hAnsi="Times New Roman" w:cs="Times New Roman"/>
                <w:kern w:val="0"/>
                <w:sz w:val="22"/>
              </w:rPr>
              <w:t>每增加</w:t>
            </w:r>
            <w:r>
              <w:rPr>
                <w:rFonts w:ascii="Times New Roman" w:hAnsi="Times New Roman" w:cs="Times New Roman" w:hint="eastAsia"/>
                <w:kern w:val="0"/>
                <w:sz w:val="22"/>
              </w:rPr>
              <w:t>1</w:t>
            </w:r>
            <w:r>
              <w:rPr>
                <w:rFonts w:ascii="Times New Roman" w:hAnsi="Times New Roman" w:cs="Times New Roman"/>
                <w:kern w:val="0"/>
                <w:sz w:val="22"/>
              </w:rPr>
              <w:t>个加</w:t>
            </w:r>
            <w:r>
              <w:rPr>
                <w:rFonts w:ascii="Times New Roman" w:hAnsi="Times New Roman" w:cs="Times New Roman"/>
                <w:kern w:val="0"/>
                <w:sz w:val="22"/>
              </w:rPr>
              <w:t>3</w:t>
            </w:r>
            <w:r>
              <w:rPr>
                <w:rFonts w:ascii="Times New Roman" w:hAnsi="Times New Roman" w:cs="Times New Roman"/>
                <w:kern w:val="0"/>
                <w:sz w:val="22"/>
              </w:rPr>
              <w:t>分，最多加</w:t>
            </w:r>
            <w:r>
              <w:rPr>
                <w:rFonts w:ascii="Times New Roman" w:hAnsi="Times New Roman" w:cs="Times New Roman" w:hint="eastAsia"/>
                <w:kern w:val="0"/>
                <w:sz w:val="22"/>
              </w:rPr>
              <w:t>15</w:t>
            </w:r>
            <w:r>
              <w:rPr>
                <w:rFonts w:ascii="Times New Roman" w:hAnsi="Times New Roman" w:cs="Times New Roman"/>
                <w:kern w:val="0"/>
                <w:sz w:val="22"/>
              </w:rPr>
              <w:t>分。</w:t>
            </w:r>
          </w:p>
        </w:tc>
        <w:tc>
          <w:tcPr>
            <w:tcW w:w="450" w:type="dxa"/>
            <w:tcBorders>
              <w:top w:val="nil"/>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hint="eastAsia"/>
                <w:kern w:val="0"/>
                <w:sz w:val="22"/>
              </w:rPr>
              <w:t>15</w:t>
            </w:r>
          </w:p>
        </w:tc>
        <w:tc>
          <w:tcPr>
            <w:tcW w:w="872" w:type="dxa"/>
            <w:vMerge/>
            <w:tcBorders>
              <w:top w:val="nil"/>
              <w:left w:val="single" w:sz="4" w:space="0" w:color="auto"/>
              <w:bottom w:val="single" w:sz="4" w:space="0" w:color="auto"/>
              <w:right w:val="single" w:sz="4" w:space="0" w:color="auto"/>
            </w:tcBorders>
            <w:vAlign w:val="center"/>
          </w:tcPr>
          <w:p w:rsidR="00900EB6" w:rsidRDefault="00900EB6">
            <w:pPr>
              <w:widowControl/>
              <w:jc w:val="left"/>
              <w:rPr>
                <w:rFonts w:ascii="Times New Roman" w:hAnsi="Times New Roman" w:cs="Times New Roman"/>
                <w:kern w:val="0"/>
                <w:sz w:val="22"/>
              </w:rPr>
            </w:pPr>
          </w:p>
        </w:tc>
      </w:tr>
      <w:tr w:rsidR="00900EB6" w:rsidTr="00900EB6">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三</w:t>
            </w:r>
          </w:p>
        </w:tc>
        <w:tc>
          <w:tcPr>
            <w:tcW w:w="1220" w:type="dxa"/>
            <w:tcBorders>
              <w:top w:val="single" w:sz="4" w:space="0" w:color="auto"/>
              <w:left w:val="nil"/>
              <w:bottom w:val="single" w:sz="4" w:space="0" w:color="auto"/>
              <w:right w:val="single" w:sz="4" w:space="0" w:color="auto"/>
            </w:tcBorders>
            <w:shd w:val="clear" w:color="auto" w:fill="auto"/>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产业发展能力</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hint="eastAsia"/>
                <w:kern w:val="0"/>
                <w:sz w:val="22"/>
              </w:rPr>
              <w:t>1</w:t>
            </w:r>
            <w:r>
              <w:rPr>
                <w:rFonts w:ascii="Times New Roman" w:hAnsi="Times New Roman" w:cs="Times New Roman"/>
                <w:kern w:val="0"/>
                <w:sz w:val="22"/>
              </w:rPr>
              <w:t>5</w:t>
            </w:r>
          </w:p>
        </w:tc>
        <w:tc>
          <w:tcPr>
            <w:tcW w:w="5138" w:type="dxa"/>
            <w:tcBorders>
              <w:top w:val="single" w:sz="4" w:space="0" w:color="auto"/>
              <w:left w:val="nil"/>
              <w:bottom w:val="single" w:sz="4" w:space="0" w:color="auto"/>
              <w:right w:val="single" w:sz="4" w:space="0" w:color="auto"/>
            </w:tcBorders>
            <w:shd w:val="clear" w:color="auto" w:fill="auto"/>
            <w:vAlign w:val="center"/>
          </w:tcPr>
          <w:p w:rsidR="00900EB6" w:rsidRDefault="00AD0A97">
            <w:pPr>
              <w:widowControl/>
              <w:jc w:val="left"/>
              <w:rPr>
                <w:rFonts w:ascii="Times New Roman" w:hAnsi="Times New Roman" w:cs="Times New Roman"/>
                <w:kern w:val="0"/>
                <w:sz w:val="22"/>
              </w:rPr>
            </w:pPr>
            <w:r>
              <w:rPr>
                <w:rFonts w:ascii="Times New Roman" w:hAnsi="Times New Roman" w:cs="Times New Roman"/>
                <w:kern w:val="0"/>
                <w:sz w:val="22"/>
              </w:rPr>
              <w:t xml:space="preserve">　</w:t>
            </w: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 xml:space="preserve">　</w:t>
            </w:r>
          </w:p>
        </w:tc>
        <w:tc>
          <w:tcPr>
            <w:tcW w:w="872" w:type="dxa"/>
            <w:tcBorders>
              <w:top w:val="single" w:sz="4" w:space="0" w:color="auto"/>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 xml:space="preserve">　</w:t>
            </w:r>
          </w:p>
        </w:tc>
      </w:tr>
      <w:tr w:rsidR="00900EB6" w:rsidTr="00900EB6">
        <w:trPr>
          <w:trHeight w:val="540"/>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5</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先进制造</w:t>
            </w:r>
            <w:r>
              <w:rPr>
                <w:rFonts w:ascii="Times New Roman" w:hAnsi="Times New Roman" w:cs="Times New Roman"/>
                <w:kern w:val="0"/>
                <w:sz w:val="22"/>
              </w:rPr>
              <w:lastRenderedPageBreak/>
              <w:t>业市场</w:t>
            </w:r>
          </w:p>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协同整合能力</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hint="eastAsia"/>
                <w:kern w:val="0"/>
                <w:sz w:val="22"/>
              </w:rPr>
              <w:lastRenderedPageBreak/>
              <w:t>1</w:t>
            </w:r>
            <w:r>
              <w:rPr>
                <w:rFonts w:ascii="Times New Roman" w:hAnsi="Times New Roman" w:cs="Times New Roman"/>
                <w:kern w:val="0"/>
                <w:sz w:val="22"/>
              </w:rPr>
              <w:t>5</w:t>
            </w:r>
          </w:p>
        </w:tc>
        <w:tc>
          <w:tcPr>
            <w:tcW w:w="5138" w:type="dxa"/>
            <w:tcBorders>
              <w:top w:val="single" w:sz="4" w:space="0" w:color="auto"/>
              <w:left w:val="nil"/>
              <w:bottom w:val="single" w:sz="4" w:space="0" w:color="auto"/>
              <w:right w:val="single" w:sz="4" w:space="0" w:color="auto"/>
            </w:tcBorders>
            <w:shd w:val="clear" w:color="auto" w:fill="auto"/>
            <w:vAlign w:val="center"/>
          </w:tcPr>
          <w:p w:rsidR="00900EB6" w:rsidRDefault="00AD0A97">
            <w:pPr>
              <w:widowControl/>
              <w:jc w:val="left"/>
              <w:rPr>
                <w:rFonts w:ascii="Times New Roman" w:hAnsi="Times New Roman" w:cs="Times New Roman"/>
                <w:kern w:val="0"/>
                <w:sz w:val="22"/>
              </w:rPr>
            </w:pPr>
            <w:r>
              <w:rPr>
                <w:rFonts w:ascii="Times New Roman" w:hAnsi="Times New Roman" w:cs="Times New Roman"/>
                <w:kern w:val="0"/>
                <w:sz w:val="22"/>
              </w:rPr>
              <w:t>有与院士、国家千人计划高层次人才、知名科学家</w:t>
            </w:r>
            <w:r>
              <w:rPr>
                <w:rFonts w:ascii="Times New Roman" w:hAnsi="Times New Roman" w:cs="Times New Roman"/>
                <w:kern w:val="0"/>
                <w:sz w:val="22"/>
              </w:rPr>
              <w:lastRenderedPageBreak/>
              <w:t>等行业专家成功合作案例。</w:t>
            </w: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hint="eastAsia"/>
                <w:kern w:val="0"/>
                <w:sz w:val="22"/>
              </w:rPr>
              <w:lastRenderedPageBreak/>
              <w:t>5</w:t>
            </w:r>
          </w:p>
        </w:tc>
        <w:tc>
          <w:tcPr>
            <w:tcW w:w="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 xml:space="preserve">　</w:t>
            </w:r>
          </w:p>
        </w:tc>
      </w:tr>
      <w:tr w:rsidR="00900EB6" w:rsidTr="00900EB6">
        <w:trPr>
          <w:trHeight w:val="810"/>
        </w:trPr>
        <w:tc>
          <w:tcPr>
            <w:tcW w:w="600" w:type="dxa"/>
            <w:vMerge/>
            <w:tcBorders>
              <w:top w:val="single" w:sz="4" w:space="0" w:color="auto"/>
              <w:left w:val="single" w:sz="4" w:space="0" w:color="auto"/>
              <w:bottom w:val="single" w:sz="4" w:space="0" w:color="auto"/>
              <w:right w:val="single" w:sz="4" w:space="0" w:color="auto"/>
            </w:tcBorders>
            <w:vAlign w:val="center"/>
          </w:tcPr>
          <w:p w:rsidR="00900EB6" w:rsidRDefault="00900EB6">
            <w:pPr>
              <w:widowControl/>
              <w:jc w:val="left"/>
              <w:rPr>
                <w:rFonts w:ascii="Times New Roman" w:hAnsi="Times New Roman" w:cs="Times New Roman"/>
                <w:kern w:val="0"/>
                <w:sz w:val="22"/>
              </w:rPr>
            </w:pPr>
          </w:p>
        </w:tc>
        <w:tc>
          <w:tcPr>
            <w:tcW w:w="1220" w:type="dxa"/>
            <w:vMerge/>
            <w:tcBorders>
              <w:top w:val="single" w:sz="4" w:space="0" w:color="auto"/>
              <w:left w:val="single" w:sz="4" w:space="0" w:color="auto"/>
              <w:bottom w:val="single" w:sz="4" w:space="0" w:color="auto"/>
              <w:right w:val="single" w:sz="4" w:space="0" w:color="auto"/>
            </w:tcBorders>
            <w:vAlign w:val="center"/>
          </w:tcPr>
          <w:p w:rsidR="00900EB6" w:rsidRDefault="00900EB6">
            <w:pPr>
              <w:widowControl/>
              <w:jc w:val="left"/>
              <w:rPr>
                <w:rFonts w:ascii="Times New Roman" w:hAnsi="Times New Roman" w:cs="Times New Roman"/>
                <w:kern w:val="0"/>
                <w:sz w:val="22"/>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00EB6" w:rsidRDefault="00900EB6">
            <w:pPr>
              <w:widowControl/>
              <w:jc w:val="left"/>
              <w:rPr>
                <w:rFonts w:ascii="Times New Roman" w:hAnsi="Times New Roman" w:cs="Times New Roman"/>
                <w:kern w:val="0"/>
                <w:sz w:val="22"/>
              </w:rPr>
            </w:pPr>
          </w:p>
        </w:tc>
        <w:tc>
          <w:tcPr>
            <w:tcW w:w="5138" w:type="dxa"/>
            <w:tcBorders>
              <w:top w:val="single" w:sz="4" w:space="0" w:color="auto"/>
              <w:left w:val="nil"/>
              <w:bottom w:val="single" w:sz="4" w:space="0" w:color="auto"/>
              <w:right w:val="single" w:sz="4" w:space="0" w:color="auto"/>
            </w:tcBorders>
            <w:shd w:val="clear" w:color="auto" w:fill="auto"/>
            <w:vAlign w:val="center"/>
          </w:tcPr>
          <w:p w:rsidR="00900EB6" w:rsidRDefault="00AD0A97">
            <w:pPr>
              <w:widowControl/>
              <w:jc w:val="left"/>
              <w:rPr>
                <w:rFonts w:ascii="Times New Roman" w:hAnsi="Times New Roman" w:cs="Times New Roman"/>
                <w:kern w:val="0"/>
                <w:sz w:val="22"/>
              </w:rPr>
            </w:pPr>
            <w:r w:rsidRPr="00B1609D">
              <w:rPr>
                <w:rFonts w:asciiTheme="minorEastAsia" w:hAnsiTheme="minorEastAsia" w:cs="Times New Roman"/>
                <w:kern w:val="0"/>
                <w:sz w:val="22"/>
              </w:rPr>
              <w:t>具备</w:t>
            </w:r>
            <w:r w:rsidR="00B1609D" w:rsidRPr="00B1609D">
              <w:rPr>
                <w:rFonts w:asciiTheme="minorEastAsia" w:hAnsiTheme="minorEastAsia" w:cs="Times New Roman"/>
                <w:sz w:val="22"/>
              </w:rPr>
              <w:t>智能制造、</w:t>
            </w:r>
            <w:r w:rsidR="00B1609D" w:rsidRPr="00B1609D">
              <w:rPr>
                <w:rFonts w:asciiTheme="minorEastAsia" w:hAnsiTheme="minorEastAsia" w:cs="Times New Roman" w:hint="eastAsia"/>
                <w:sz w:val="22"/>
              </w:rPr>
              <w:t>新材料、新能源</w:t>
            </w:r>
            <w:r w:rsidRPr="00B1609D">
              <w:rPr>
                <w:rFonts w:asciiTheme="minorEastAsia" w:hAnsiTheme="minorEastAsia" w:cs="Times New Roman"/>
                <w:kern w:val="0"/>
                <w:sz w:val="22"/>
              </w:rPr>
              <w:t>专</w:t>
            </w:r>
            <w:r>
              <w:rPr>
                <w:rFonts w:ascii="Times New Roman" w:hAnsi="Times New Roman" w:cs="Times New Roman"/>
                <w:kern w:val="0"/>
                <w:sz w:val="22"/>
              </w:rPr>
              <w:t>业技术背景，且能带动相关产业落地。有相关项目业绩，每个得</w:t>
            </w:r>
            <w:r>
              <w:rPr>
                <w:rFonts w:ascii="Times New Roman" w:hAnsi="Times New Roman" w:cs="Times New Roman" w:hint="eastAsia"/>
                <w:kern w:val="0"/>
                <w:sz w:val="22"/>
              </w:rPr>
              <w:t>1</w:t>
            </w:r>
            <w:r>
              <w:rPr>
                <w:rFonts w:ascii="Times New Roman" w:hAnsi="Times New Roman" w:cs="Times New Roman"/>
                <w:kern w:val="0"/>
                <w:sz w:val="22"/>
              </w:rPr>
              <w:t>分，最多得</w:t>
            </w:r>
            <w:r>
              <w:rPr>
                <w:rFonts w:ascii="Times New Roman" w:hAnsi="Times New Roman" w:cs="Times New Roman" w:hint="eastAsia"/>
                <w:kern w:val="0"/>
                <w:sz w:val="22"/>
              </w:rPr>
              <w:t>5</w:t>
            </w:r>
            <w:r>
              <w:rPr>
                <w:rFonts w:ascii="Times New Roman" w:hAnsi="Times New Roman" w:cs="Times New Roman"/>
                <w:kern w:val="0"/>
                <w:sz w:val="22"/>
              </w:rPr>
              <w:t>分。</w:t>
            </w: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hint="eastAsia"/>
                <w:kern w:val="0"/>
                <w:sz w:val="22"/>
              </w:rPr>
              <w:t>5</w:t>
            </w:r>
          </w:p>
        </w:tc>
        <w:tc>
          <w:tcPr>
            <w:tcW w:w="872" w:type="dxa"/>
            <w:vMerge/>
            <w:tcBorders>
              <w:top w:val="single" w:sz="4" w:space="0" w:color="auto"/>
              <w:left w:val="single" w:sz="4" w:space="0" w:color="auto"/>
              <w:bottom w:val="single" w:sz="4" w:space="0" w:color="auto"/>
              <w:right w:val="single" w:sz="4" w:space="0" w:color="auto"/>
            </w:tcBorders>
            <w:vAlign w:val="center"/>
          </w:tcPr>
          <w:p w:rsidR="00900EB6" w:rsidRDefault="00900EB6">
            <w:pPr>
              <w:widowControl/>
              <w:jc w:val="left"/>
              <w:rPr>
                <w:rFonts w:ascii="Times New Roman" w:hAnsi="Times New Roman" w:cs="Times New Roman"/>
                <w:kern w:val="0"/>
                <w:sz w:val="22"/>
              </w:rPr>
            </w:pPr>
          </w:p>
        </w:tc>
      </w:tr>
      <w:tr w:rsidR="00900EB6" w:rsidTr="00900EB6">
        <w:trPr>
          <w:trHeight w:val="810"/>
        </w:trPr>
        <w:tc>
          <w:tcPr>
            <w:tcW w:w="600" w:type="dxa"/>
            <w:vMerge/>
            <w:tcBorders>
              <w:top w:val="single" w:sz="4" w:space="0" w:color="auto"/>
              <w:left w:val="single" w:sz="4" w:space="0" w:color="auto"/>
              <w:bottom w:val="single" w:sz="4" w:space="0" w:color="auto"/>
              <w:right w:val="single" w:sz="4" w:space="0" w:color="auto"/>
            </w:tcBorders>
            <w:vAlign w:val="center"/>
          </w:tcPr>
          <w:p w:rsidR="00900EB6" w:rsidRDefault="00900EB6">
            <w:pPr>
              <w:widowControl/>
              <w:jc w:val="left"/>
              <w:rPr>
                <w:rFonts w:ascii="Times New Roman" w:hAnsi="Times New Roman" w:cs="Times New Roman"/>
                <w:kern w:val="0"/>
                <w:sz w:val="22"/>
              </w:rPr>
            </w:pPr>
          </w:p>
        </w:tc>
        <w:tc>
          <w:tcPr>
            <w:tcW w:w="1220" w:type="dxa"/>
            <w:vMerge/>
            <w:tcBorders>
              <w:top w:val="single" w:sz="4" w:space="0" w:color="auto"/>
              <w:left w:val="single" w:sz="4" w:space="0" w:color="auto"/>
              <w:bottom w:val="single" w:sz="4" w:space="0" w:color="auto"/>
              <w:right w:val="single" w:sz="4" w:space="0" w:color="auto"/>
            </w:tcBorders>
            <w:vAlign w:val="center"/>
          </w:tcPr>
          <w:p w:rsidR="00900EB6" w:rsidRDefault="00900EB6">
            <w:pPr>
              <w:widowControl/>
              <w:jc w:val="left"/>
              <w:rPr>
                <w:rFonts w:ascii="Times New Roman" w:hAnsi="Times New Roman" w:cs="Times New Roman"/>
                <w:kern w:val="0"/>
                <w:sz w:val="22"/>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00EB6" w:rsidRDefault="00900EB6">
            <w:pPr>
              <w:widowControl/>
              <w:jc w:val="left"/>
              <w:rPr>
                <w:rFonts w:ascii="Times New Roman" w:hAnsi="Times New Roman" w:cs="Times New Roman"/>
                <w:kern w:val="0"/>
                <w:sz w:val="22"/>
              </w:rPr>
            </w:pPr>
          </w:p>
        </w:tc>
        <w:tc>
          <w:tcPr>
            <w:tcW w:w="5138" w:type="dxa"/>
            <w:tcBorders>
              <w:top w:val="single" w:sz="4" w:space="0" w:color="auto"/>
              <w:left w:val="nil"/>
              <w:bottom w:val="single" w:sz="4" w:space="0" w:color="auto"/>
              <w:right w:val="single" w:sz="4" w:space="0" w:color="auto"/>
            </w:tcBorders>
            <w:shd w:val="clear" w:color="auto" w:fill="auto"/>
            <w:vAlign w:val="center"/>
          </w:tcPr>
          <w:p w:rsidR="00900EB6" w:rsidRDefault="00AD0A97">
            <w:pPr>
              <w:widowControl/>
              <w:jc w:val="left"/>
              <w:rPr>
                <w:rFonts w:ascii="Times New Roman" w:hAnsi="Times New Roman" w:cs="Times New Roman"/>
                <w:kern w:val="0"/>
                <w:sz w:val="22"/>
              </w:rPr>
            </w:pPr>
            <w:r>
              <w:rPr>
                <w:rFonts w:ascii="Times New Roman" w:hAnsi="Times New Roman" w:cs="Times New Roman"/>
                <w:kern w:val="0"/>
                <w:sz w:val="22"/>
              </w:rPr>
              <w:t>有与地方政府合作打造先进制造业产业集群发展经验。有相关项目业绩，每个得</w:t>
            </w:r>
            <w:r>
              <w:rPr>
                <w:rFonts w:ascii="Times New Roman" w:hAnsi="Times New Roman" w:cs="Times New Roman" w:hint="eastAsia"/>
                <w:kern w:val="0"/>
                <w:sz w:val="22"/>
              </w:rPr>
              <w:t>1</w:t>
            </w:r>
            <w:r>
              <w:rPr>
                <w:rFonts w:ascii="Times New Roman" w:hAnsi="Times New Roman" w:cs="Times New Roman"/>
                <w:kern w:val="0"/>
                <w:sz w:val="22"/>
              </w:rPr>
              <w:t>分，最多得</w:t>
            </w:r>
            <w:r>
              <w:rPr>
                <w:rFonts w:ascii="Times New Roman" w:hAnsi="Times New Roman" w:cs="Times New Roman" w:hint="eastAsia"/>
                <w:kern w:val="0"/>
                <w:sz w:val="22"/>
              </w:rPr>
              <w:t>5</w:t>
            </w:r>
            <w:r>
              <w:rPr>
                <w:rFonts w:ascii="Times New Roman" w:hAnsi="Times New Roman" w:cs="Times New Roman"/>
                <w:kern w:val="0"/>
                <w:sz w:val="22"/>
              </w:rPr>
              <w:t>分。</w:t>
            </w: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hint="eastAsia"/>
                <w:kern w:val="0"/>
                <w:sz w:val="22"/>
              </w:rPr>
              <w:t>5</w:t>
            </w:r>
          </w:p>
        </w:tc>
        <w:tc>
          <w:tcPr>
            <w:tcW w:w="872" w:type="dxa"/>
            <w:vMerge/>
            <w:tcBorders>
              <w:top w:val="single" w:sz="4" w:space="0" w:color="auto"/>
              <w:left w:val="single" w:sz="4" w:space="0" w:color="auto"/>
              <w:bottom w:val="single" w:sz="4" w:space="0" w:color="auto"/>
              <w:right w:val="single" w:sz="4" w:space="0" w:color="auto"/>
            </w:tcBorders>
            <w:vAlign w:val="center"/>
          </w:tcPr>
          <w:p w:rsidR="00900EB6" w:rsidRDefault="00900EB6">
            <w:pPr>
              <w:widowControl/>
              <w:jc w:val="left"/>
              <w:rPr>
                <w:rFonts w:ascii="Times New Roman" w:hAnsi="Times New Roman" w:cs="Times New Roman"/>
                <w:kern w:val="0"/>
                <w:sz w:val="22"/>
              </w:rPr>
            </w:pPr>
          </w:p>
        </w:tc>
      </w:tr>
      <w:tr w:rsidR="00900EB6" w:rsidTr="00900EB6">
        <w:trPr>
          <w:trHeight w:val="48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四</w:t>
            </w:r>
          </w:p>
        </w:tc>
        <w:tc>
          <w:tcPr>
            <w:tcW w:w="1220" w:type="dxa"/>
            <w:tcBorders>
              <w:top w:val="single" w:sz="4" w:space="0" w:color="auto"/>
              <w:left w:val="nil"/>
              <w:bottom w:val="single" w:sz="4" w:space="0" w:color="auto"/>
              <w:right w:val="single" w:sz="4" w:space="0" w:color="auto"/>
            </w:tcBorders>
            <w:shd w:val="clear" w:color="auto" w:fill="auto"/>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基金方案</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hint="eastAsia"/>
                <w:kern w:val="0"/>
                <w:sz w:val="22"/>
              </w:rPr>
              <w:t>20</w:t>
            </w:r>
          </w:p>
        </w:tc>
        <w:tc>
          <w:tcPr>
            <w:tcW w:w="5138" w:type="dxa"/>
            <w:tcBorders>
              <w:top w:val="single" w:sz="4" w:space="0" w:color="auto"/>
              <w:left w:val="nil"/>
              <w:bottom w:val="single" w:sz="4" w:space="0" w:color="auto"/>
              <w:right w:val="single" w:sz="4" w:space="0" w:color="auto"/>
            </w:tcBorders>
            <w:shd w:val="clear" w:color="auto" w:fill="auto"/>
            <w:vAlign w:val="center"/>
          </w:tcPr>
          <w:p w:rsidR="00900EB6" w:rsidRDefault="00AD0A97">
            <w:pPr>
              <w:widowControl/>
              <w:jc w:val="left"/>
              <w:rPr>
                <w:rFonts w:ascii="Times New Roman" w:hAnsi="Times New Roman" w:cs="Times New Roman"/>
                <w:kern w:val="0"/>
                <w:sz w:val="22"/>
              </w:rPr>
            </w:pPr>
            <w:r>
              <w:rPr>
                <w:rFonts w:ascii="Times New Roman" w:hAnsi="Times New Roman" w:cs="Times New Roman"/>
                <w:kern w:val="0"/>
                <w:sz w:val="22"/>
              </w:rPr>
              <w:t xml:space="preserve">　</w:t>
            </w: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 xml:space="preserve">　</w:t>
            </w:r>
          </w:p>
        </w:tc>
        <w:tc>
          <w:tcPr>
            <w:tcW w:w="872" w:type="dxa"/>
            <w:tcBorders>
              <w:top w:val="single" w:sz="4" w:space="0" w:color="auto"/>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 xml:space="preserve">　</w:t>
            </w:r>
          </w:p>
        </w:tc>
      </w:tr>
      <w:tr w:rsidR="00900EB6" w:rsidTr="00900EB6">
        <w:trPr>
          <w:trHeight w:val="54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6</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管理制度</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hint="eastAsia"/>
                <w:kern w:val="0"/>
                <w:sz w:val="22"/>
              </w:rPr>
              <w:t>5</w:t>
            </w:r>
          </w:p>
        </w:tc>
        <w:tc>
          <w:tcPr>
            <w:tcW w:w="5138" w:type="dxa"/>
            <w:tcBorders>
              <w:top w:val="single" w:sz="4" w:space="0" w:color="auto"/>
              <w:left w:val="nil"/>
              <w:bottom w:val="single" w:sz="4" w:space="0" w:color="auto"/>
              <w:right w:val="single" w:sz="4" w:space="0" w:color="auto"/>
            </w:tcBorders>
            <w:shd w:val="clear" w:color="auto" w:fill="auto"/>
            <w:vAlign w:val="center"/>
          </w:tcPr>
          <w:p w:rsidR="00900EB6" w:rsidRDefault="00AD0A97">
            <w:pPr>
              <w:widowControl/>
              <w:jc w:val="left"/>
              <w:rPr>
                <w:rFonts w:ascii="Times New Roman" w:hAnsi="Times New Roman" w:cs="Times New Roman"/>
                <w:kern w:val="0"/>
                <w:sz w:val="22"/>
              </w:rPr>
            </w:pPr>
            <w:r>
              <w:rPr>
                <w:rFonts w:ascii="Times New Roman" w:hAnsi="Times New Roman" w:cs="Times New Roman"/>
                <w:kern w:val="0"/>
                <w:sz w:val="22"/>
              </w:rPr>
              <w:t>具备规范的项目准入机制和严格的投资决策程序</w:t>
            </w:r>
            <w:r>
              <w:rPr>
                <w:rFonts w:ascii="Times New Roman" w:hAnsi="Times New Roman" w:cs="Times New Roman" w:hint="eastAsia"/>
                <w:kern w:val="0"/>
                <w:sz w:val="22"/>
              </w:rPr>
              <w:t>，</w:t>
            </w:r>
            <w:r>
              <w:rPr>
                <w:rFonts w:ascii="Times New Roman" w:hAnsi="Times New Roman" w:cs="Times New Roman"/>
                <w:kern w:val="0"/>
                <w:sz w:val="22"/>
              </w:rPr>
              <w:t>健全的产业投资管理和风险控制流程</w:t>
            </w:r>
            <w:r>
              <w:rPr>
                <w:rFonts w:ascii="Times New Roman" w:hAnsi="Times New Roman" w:cs="Times New Roman" w:hint="eastAsia"/>
                <w:kern w:val="0"/>
                <w:sz w:val="22"/>
              </w:rPr>
              <w:t>，</w:t>
            </w:r>
            <w:r>
              <w:rPr>
                <w:rFonts w:ascii="Times New Roman" w:hAnsi="Times New Roman" w:cs="Times New Roman"/>
                <w:kern w:val="0"/>
                <w:sz w:val="22"/>
              </w:rPr>
              <w:t>完备的投资管理制度、完整的投资档案体系及健全的财务管理制度</w:t>
            </w:r>
            <w:r>
              <w:rPr>
                <w:rFonts w:ascii="Times New Roman" w:hAnsi="Times New Roman" w:cs="Times New Roman" w:hint="eastAsia"/>
                <w:kern w:val="0"/>
                <w:sz w:val="22"/>
              </w:rPr>
              <w:t>，</w:t>
            </w:r>
            <w:r>
              <w:rPr>
                <w:rFonts w:ascii="Times New Roman" w:hAnsi="Times New Roman" w:cs="Times New Roman"/>
                <w:kern w:val="0"/>
                <w:sz w:val="22"/>
              </w:rPr>
              <w:t>健全的投后管理体系及能力证明。</w:t>
            </w: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hint="eastAsia"/>
                <w:kern w:val="0"/>
                <w:sz w:val="22"/>
              </w:rPr>
              <w:t>5</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 xml:space="preserve">　</w:t>
            </w:r>
          </w:p>
        </w:tc>
      </w:tr>
      <w:tr w:rsidR="00900EB6" w:rsidTr="00900EB6">
        <w:trPr>
          <w:trHeight w:val="290"/>
        </w:trPr>
        <w:tc>
          <w:tcPr>
            <w:tcW w:w="600" w:type="dxa"/>
            <w:vMerge w:val="restart"/>
            <w:tcBorders>
              <w:top w:val="single" w:sz="4" w:space="0" w:color="auto"/>
              <w:left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7</w:t>
            </w:r>
          </w:p>
        </w:tc>
        <w:tc>
          <w:tcPr>
            <w:tcW w:w="1220" w:type="dxa"/>
            <w:vMerge w:val="restart"/>
            <w:tcBorders>
              <w:top w:val="single" w:sz="4" w:space="0" w:color="auto"/>
              <w:left w:val="nil"/>
              <w:right w:val="single" w:sz="4" w:space="0" w:color="auto"/>
            </w:tcBorders>
            <w:shd w:val="clear" w:color="auto" w:fill="auto"/>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基金实施方案可行性</w:t>
            </w:r>
          </w:p>
        </w:tc>
        <w:tc>
          <w:tcPr>
            <w:tcW w:w="640" w:type="dxa"/>
            <w:vMerge w:val="restart"/>
            <w:tcBorders>
              <w:top w:val="single" w:sz="4" w:space="0" w:color="auto"/>
              <w:left w:val="nil"/>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hint="eastAsia"/>
                <w:kern w:val="0"/>
                <w:sz w:val="22"/>
              </w:rPr>
              <w:t>15</w:t>
            </w:r>
          </w:p>
        </w:tc>
        <w:tc>
          <w:tcPr>
            <w:tcW w:w="5138" w:type="dxa"/>
            <w:tcBorders>
              <w:top w:val="single" w:sz="4" w:space="0" w:color="auto"/>
              <w:left w:val="nil"/>
              <w:bottom w:val="single" w:sz="4" w:space="0" w:color="auto"/>
              <w:right w:val="single" w:sz="4" w:space="0" w:color="auto"/>
            </w:tcBorders>
            <w:shd w:val="clear" w:color="auto" w:fill="auto"/>
            <w:vAlign w:val="center"/>
          </w:tcPr>
          <w:p w:rsidR="00900EB6" w:rsidRDefault="00AD0A97">
            <w:pPr>
              <w:widowControl/>
              <w:jc w:val="left"/>
              <w:rPr>
                <w:rFonts w:ascii="Times New Roman" w:hAnsi="Times New Roman" w:cs="Times New Roman"/>
                <w:kern w:val="0"/>
                <w:sz w:val="22"/>
              </w:rPr>
            </w:pPr>
            <w:r>
              <w:rPr>
                <w:rFonts w:ascii="Times New Roman" w:hAnsi="Times New Roman" w:cs="Times New Roman"/>
                <w:kern w:val="0"/>
                <w:sz w:val="22"/>
              </w:rPr>
              <w:t>基金实施方案要素</w:t>
            </w:r>
            <w:r>
              <w:rPr>
                <w:rFonts w:ascii="Times New Roman" w:hAnsi="Times New Roman" w:cs="Times New Roman" w:hint="eastAsia"/>
                <w:kern w:val="0"/>
                <w:sz w:val="22"/>
              </w:rPr>
              <w:t>完整、发展定位明确。</w:t>
            </w: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hint="eastAsia"/>
                <w:kern w:val="0"/>
                <w:sz w:val="22"/>
              </w:rPr>
              <w:t>3</w:t>
            </w:r>
          </w:p>
        </w:tc>
        <w:tc>
          <w:tcPr>
            <w:tcW w:w="872" w:type="dxa"/>
            <w:tcBorders>
              <w:top w:val="single" w:sz="4" w:space="0" w:color="auto"/>
              <w:left w:val="nil"/>
              <w:bottom w:val="single" w:sz="4" w:space="0" w:color="auto"/>
              <w:right w:val="single" w:sz="4" w:space="0" w:color="auto"/>
            </w:tcBorders>
            <w:shd w:val="clear" w:color="auto" w:fill="auto"/>
            <w:noWrap/>
            <w:vAlign w:val="center"/>
          </w:tcPr>
          <w:p w:rsidR="00900EB6" w:rsidRDefault="00AD0A97">
            <w:pPr>
              <w:widowControl/>
              <w:jc w:val="left"/>
              <w:rPr>
                <w:rFonts w:ascii="Times New Roman" w:hAnsi="Times New Roman" w:cs="Times New Roman"/>
                <w:kern w:val="0"/>
                <w:sz w:val="22"/>
              </w:rPr>
            </w:pPr>
            <w:r>
              <w:rPr>
                <w:rFonts w:ascii="Times New Roman" w:hAnsi="Times New Roman" w:cs="Times New Roman"/>
                <w:kern w:val="0"/>
                <w:sz w:val="22"/>
              </w:rPr>
              <w:t xml:space="preserve">　</w:t>
            </w:r>
          </w:p>
        </w:tc>
      </w:tr>
      <w:tr w:rsidR="00900EB6" w:rsidTr="00900EB6">
        <w:trPr>
          <w:trHeight w:val="90"/>
        </w:trPr>
        <w:tc>
          <w:tcPr>
            <w:tcW w:w="600" w:type="dxa"/>
            <w:vMerge/>
            <w:tcBorders>
              <w:left w:val="single" w:sz="4" w:space="0" w:color="auto"/>
              <w:right w:val="single" w:sz="4" w:space="0" w:color="auto"/>
            </w:tcBorders>
            <w:shd w:val="clear" w:color="auto" w:fill="auto"/>
            <w:noWrap/>
            <w:vAlign w:val="center"/>
          </w:tcPr>
          <w:p w:rsidR="00900EB6" w:rsidRDefault="00900EB6">
            <w:pPr>
              <w:widowControl/>
              <w:jc w:val="center"/>
              <w:rPr>
                <w:rFonts w:ascii="Times New Roman" w:hAnsi="Times New Roman" w:cs="Times New Roman"/>
                <w:kern w:val="0"/>
                <w:sz w:val="22"/>
              </w:rPr>
            </w:pPr>
          </w:p>
        </w:tc>
        <w:tc>
          <w:tcPr>
            <w:tcW w:w="1220" w:type="dxa"/>
            <w:vMerge/>
            <w:tcBorders>
              <w:left w:val="nil"/>
              <w:right w:val="single" w:sz="4" w:space="0" w:color="auto"/>
            </w:tcBorders>
            <w:shd w:val="clear" w:color="auto" w:fill="auto"/>
            <w:vAlign w:val="center"/>
          </w:tcPr>
          <w:p w:rsidR="00900EB6" w:rsidRDefault="00900EB6">
            <w:pPr>
              <w:widowControl/>
              <w:jc w:val="center"/>
              <w:rPr>
                <w:rFonts w:ascii="Times New Roman" w:hAnsi="Times New Roman" w:cs="Times New Roman"/>
                <w:kern w:val="0"/>
                <w:sz w:val="22"/>
              </w:rPr>
            </w:pPr>
          </w:p>
        </w:tc>
        <w:tc>
          <w:tcPr>
            <w:tcW w:w="640" w:type="dxa"/>
            <w:vMerge/>
            <w:tcBorders>
              <w:left w:val="nil"/>
              <w:right w:val="single" w:sz="4" w:space="0" w:color="auto"/>
            </w:tcBorders>
            <w:shd w:val="clear" w:color="auto" w:fill="auto"/>
            <w:noWrap/>
            <w:vAlign w:val="center"/>
          </w:tcPr>
          <w:p w:rsidR="00900EB6" w:rsidRDefault="00900EB6">
            <w:pPr>
              <w:widowControl/>
              <w:jc w:val="center"/>
              <w:rPr>
                <w:rFonts w:ascii="Times New Roman" w:hAnsi="Times New Roman" w:cs="Times New Roman"/>
                <w:kern w:val="0"/>
                <w:sz w:val="22"/>
              </w:rPr>
            </w:pPr>
          </w:p>
        </w:tc>
        <w:tc>
          <w:tcPr>
            <w:tcW w:w="5138" w:type="dxa"/>
            <w:tcBorders>
              <w:top w:val="single" w:sz="4" w:space="0" w:color="auto"/>
              <w:left w:val="nil"/>
              <w:bottom w:val="single" w:sz="4" w:space="0" w:color="auto"/>
              <w:right w:val="single" w:sz="4" w:space="0" w:color="auto"/>
            </w:tcBorders>
            <w:shd w:val="clear" w:color="auto" w:fill="auto"/>
            <w:vAlign w:val="center"/>
          </w:tcPr>
          <w:p w:rsidR="00900EB6" w:rsidRDefault="00AD0A97">
            <w:pPr>
              <w:widowControl/>
              <w:jc w:val="left"/>
              <w:rPr>
                <w:rFonts w:ascii="Times New Roman" w:hAnsi="Times New Roman" w:cs="Times New Roman"/>
                <w:kern w:val="0"/>
                <w:sz w:val="22"/>
              </w:rPr>
            </w:pPr>
            <w:r>
              <w:rPr>
                <w:rFonts w:ascii="Times New Roman" w:hAnsi="Times New Roman" w:cs="Times New Roman" w:hint="eastAsia"/>
                <w:kern w:val="0"/>
                <w:sz w:val="22"/>
              </w:rPr>
              <w:t>基金出资方</w:t>
            </w:r>
            <w:r>
              <w:rPr>
                <w:rFonts w:ascii="Times New Roman" w:hAnsi="Times New Roman" w:cs="Times New Roman" w:hint="eastAsia"/>
                <w:kern w:val="0"/>
                <w:sz w:val="22"/>
              </w:rPr>
              <w:t>LP</w:t>
            </w:r>
            <w:r>
              <w:rPr>
                <w:rFonts w:ascii="Times New Roman" w:hAnsi="Times New Roman" w:cs="Times New Roman" w:hint="eastAsia"/>
                <w:kern w:val="0"/>
                <w:sz w:val="22"/>
              </w:rPr>
              <w:t>综合实力较强。</w:t>
            </w: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hint="eastAsia"/>
                <w:kern w:val="0"/>
                <w:sz w:val="22"/>
              </w:rPr>
              <w:t>3</w:t>
            </w:r>
          </w:p>
        </w:tc>
        <w:tc>
          <w:tcPr>
            <w:tcW w:w="872" w:type="dxa"/>
            <w:tcBorders>
              <w:top w:val="single" w:sz="4" w:space="0" w:color="auto"/>
              <w:left w:val="nil"/>
              <w:bottom w:val="single" w:sz="4" w:space="0" w:color="auto"/>
              <w:right w:val="single" w:sz="4" w:space="0" w:color="auto"/>
            </w:tcBorders>
            <w:shd w:val="clear" w:color="auto" w:fill="auto"/>
            <w:noWrap/>
            <w:vAlign w:val="center"/>
          </w:tcPr>
          <w:p w:rsidR="00900EB6" w:rsidRDefault="00900EB6">
            <w:pPr>
              <w:widowControl/>
              <w:jc w:val="left"/>
              <w:rPr>
                <w:rFonts w:ascii="Times New Roman" w:hAnsi="Times New Roman" w:cs="Times New Roman"/>
                <w:kern w:val="0"/>
                <w:sz w:val="22"/>
              </w:rPr>
            </w:pPr>
          </w:p>
        </w:tc>
      </w:tr>
      <w:tr w:rsidR="00900EB6" w:rsidTr="00900EB6">
        <w:trPr>
          <w:trHeight w:val="212"/>
        </w:trPr>
        <w:tc>
          <w:tcPr>
            <w:tcW w:w="600" w:type="dxa"/>
            <w:vMerge/>
            <w:tcBorders>
              <w:left w:val="single" w:sz="4" w:space="0" w:color="auto"/>
              <w:right w:val="single" w:sz="4" w:space="0" w:color="auto"/>
            </w:tcBorders>
            <w:shd w:val="clear" w:color="auto" w:fill="auto"/>
            <w:noWrap/>
            <w:vAlign w:val="center"/>
          </w:tcPr>
          <w:p w:rsidR="00900EB6" w:rsidRDefault="00900EB6">
            <w:pPr>
              <w:widowControl/>
              <w:jc w:val="center"/>
              <w:rPr>
                <w:rFonts w:ascii="Times New Roman" w:hAnsi="Times New Roman" w:cs="Times New Roman"/>
                <w:kern w:val="0"/>
                <w:sz w:val="22"/>
              </w:rPr>
            </w:pPr>
          </w:p>
        </w:tc>
        <w:tc>
          <w:tcPr>
            <w:tcW w:w="1220" w:type="dxa"/>
            <w:vMerge/>
            <w:tcBorders>
              <w:left w:val="nil"/>
              <w:right w:val="single" w:sz="4" w:space="0" w:color="auto"/>
            </w:tcBorders>
            <w:shd w:val="clear" w:color="auto" w:fill="auto"/>
            <w:vAlign w:val="center"/>
          </w:tcPr>
          <w:p w:rsidR="00900EB6" w:rsidRDefault="00900EB6">
            <w:pPr>
              <w:widowControl/>
              <w:jc w:val="center"/>
              <w:rPr>
                <w:rFonts w:ascii="Times New Roman" w:hAnsi="Times New Roman" w:cs="Times New Roman"/>
                <w:kern w:val="0"/>
                <w:sz w:val="22"/>
              </w:rPr>
            </w:pPr>
          </w:p>
        </w:tc>
        <w:tc>
          <w:tcPr>
            <w:tcW w:w="640" w:type="dxa"/>
            <w:vMerge/>
            <w:tcBorders>
              <w:left w:val="nil"/>
              <w:right w:val="single" w:sz="4" w:space="0" w:color="auto"/>
            </w:tcBorders>
            <w:shd w:val="clear" w:color="auto" w:fill="auto"/>
            <w:noWrap/>
            <w:vAlign w:val="center"/>
          </w:tcPr>
          <w:p w:rsidR="00900EB6" w:rsidRDefault="00900EB6">
            <w:pPr>
              <w:widowControl/>
              <w:jc w:val="center"/>
              <w:rPr>
                <w:rFonts w:ascii="Times New Roman" w:hAnsi="Times New Roman" w:cs="Times New Roman"/>
                <w:kern w:val="0"/>
                <w:sz w:val="22"/>
              </w:rPr>
            </w:pPr>
          </w:p>
        </w:tc>
        <w:tc>
          <w:tcPr>
            <w:tcW w:w="5138" w:type="dxa"/>
            <w:tcBorders>
              <w:top w:val="single" w:sz="4" w:space="0" w:color="auto"/>
              <w:left w:val="nil"/>
              <w:bottom w:val="single" w:sz="4" w:space="0" w:color="auto"/>
              <w:right w:val="single" w:sz="4" w:space="0" w:color="auto"/>
            </w:tcBorders>
            <w:shd w:val="clear" w:color="auto" w:fill="auto"/>
            <w:vAlign w:val="center"/>
          </w:tcPr>
          <w:p w:rsidR="00900EB6" w:rsidRDefault="00AD0A97">
            <w:pPr>
              <w:widowControl/>
              <w:jc w:val="left"/>
              <w:rPr>
                <w:rFonts w:ascii="Times New Roman" w:hAnsi="Times New Roman" w:cs="Times New Roman"/>
                <w:kern w:val="0"/>
                <w:sz w:val="22"/>
              </w:rPr>
            </w:pPr>
            <w:r>
              <w:rPr>
                <w:rFonts w:ascii="Times New Roman" w:hAnsi="Times New Roman" w:cs="Times New Roman" w:hint="eastAsia"/>
                <w:kern w:val="0"/>
                <w:sz w:val="22"/>
              </w:rPr>
              <w:t>基金投资策略准确、清晰</w:t>
            </w: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hint="eastAsia"/>
                <w:kern w:val="0"/>
                <w:sz w:val="22"/>
              </w:rPr>
              <w:t>3</w:t>
            </w:r>
          </w:p>
        </w:tc>
        <w:tc>
          <w:tcPr>
            <w:tcW w:w="872" w:type="dxa"/>
            <w:tcBorders>
              <w:top w:val="single" w:sz="4" w:space="0" w:color="auto"/>
              <w:left w:val="nil"/>
              <w:bottom w:val="single" w:sz="4" w:space="0" w:color="auto"/>
              <w:right w:val="single" w:sz="4" w:space="0" w:color="auto"/>
            </w:tcBorders>
            <w:shd w:val="clear" w:color="auto" w:fill="auto"/>
            <w:noWrap/>
            <w:vAlign w:val="center"/>
          </w:tcPr>
          <w:p w:rsidR="00900EB6" w:rsidRDefault="00900EB6">
            <w:pPr>
              <w:widowControl/>
              <w:jc w:val="left"/>
              <w:rPr>
                <w:rFonts w:ascii="Times New Roman" w:hAnsi="Times New Roman" w:cs="Times New Roman"/>
                <w:kern w:val="0"/>
                <w:sz w:val="22"/>
              </w:rPr>
            </w:pPr>
          </w:p>
        </w:tc>
      </w:tr>
      <w:tr w:rsidR="00900EB6" w:rsidTr="00900EB6">
        <w:trPr>
          <w:trHeight w:val="90"/>
        </w:trPr>
        <w:tc>
          <w:tcPr>
            <w:tcW w:w="600" w:type="dxa"/>
            <w:vMerge/>
            <w:tcBorders>
              <w:left w:val="single" w:sz="4" w:space="0" w:color="auto"/>
              <w:right w:val="single" w:sz="4" w:space="0" w:color="auto"/>
            </w:tcBorders>
            <w:shd w:val="clear" w:color="auto" w:fill="auto"/>
            <w:noWrap/>
            <w:vAlign w:val="center"/>
          </w:tcPr>
          <w:p w:rsidR="00900EB6" w:rsidRDefault="00900EB6">
            <w:pPr>
              <w:widowControl/>
              <w:jc w:val="center"/>
              <w:rPr>
                <w:rFonts w:ascii="Times New Roman" w:hAnsi="Times New Roman" w:cs="Times New Roman"/>
                <w:kern w:val="0"/>
                <w:sz w:val="22"/>
              </w:rPr>
            </w:pPr>
          </w:p>
        </w:tc>
        <w:tc>
          <w:tcPr>
            <w:tcW w:w="1220" w:type="dxa"/>
            <w:vMerge/>
            <w:tcBorders>
              <w:left w:val="nil"/>
              <w:right w:val="single" w:sz="4" w:space="0" w:color="auto"/>
            </w:tcBorders>
            <w:shd w:val="clear" w:color="auto" w:fill="auto"/>
            <w:vAlign w:val="center"/>
          </w:tcPr>
          <w:p w:rsidR="00900EB6" w:rsidRDefault="00900EB6">
            <w:pPr>
              <w:widowControl/>
              <w:jc w:val="center"/>
              <w:rPr>
                <w:rFonts w:ascii="Times New Roman" w:hAnsi="Times New Roman" w:cs="Times New Roman"/>
                <w:kern w:val="0"/>
                <w:sz w:val="22"/>
              </w:rPr>
            </w:pPr>
          </w:p>
        </w:tc>
        <w:tc>
          <w:tcPr>
            <w:tcW w:w="640" w:type="dxa"/>
            <w:vMerge/>
            <w:tcBorders>
              <w:left w:val="nil"/>
              <w:right w:val="single" w:sz="4" w:space="0" w:color="auto"/>
            </w:tcBorders>
            <w:shd w:val="clear" w:color="auto" w:fill="auto"/>
            <w:noWrap/>
            <w:vAlign w:val="center"/>
          </w:tcPr>
          <w:p w:rsidR="00900EB6" w:rsidRDefault="00900EB6">
            <w:pPr>
              <w:widowControl/>
              <w:jc w:val="center"/>
              <w:rPr>
                <w:rFonts w:ascii="Times New Roman" w:hAnsi="Times New Roman" w:cs="Times New Roman"/>
                <w:kern w:val="0"/>
                <w:sz w:val="22"/>
              </w:rPr>
            </w:pPr>
          </w:p>
        </w:tc>
        <w:tc>
          <w:tcPr>
            <w:tcW w:w="5138" w:type="dxa"/>
            <w:tcBorders>
              <w:top w:val="single" w:sz="4" w:space="0" w:color="auto"/>
              <w:left w:val="nil"/>
              <w:bottom w:val="single" w:sz="4" w:space="0" w:color="auto"/>
              <w:right w:val="single" w:sz="4" w:space="0" w:color="auto"/>
            </w:tcBorders>
            <w:shd w:val="clear" w:color="auto" w:fill="auto"/>
            <w:vAlign w:val="center"/>
          </w:tcPr>
          <w:p w:rsidR="00900EB6" w:rsidRDefault="00AD0A97">
            <w:pPr>
              <w:widowControl/>
              <w:jc w:val="left"/>
              <w:rPr>
                <w:rFonts w:ascii="Times New Roman" w:hAnsi="Times New Roman" w:cs="Times New Roman"/>
                <w:kern w:val="0"/>
                <w:sz w:val="22"/>
              </w:rPr>
            </w:pPr>
            <w:r>
              <w:rPr>
                <w:rFonts w:ascii="Times New Roman" w:hAnsi="Times New Roman" w:cs="Times New Roman" w:hint="eastAsia"/>
                <w:kern w:val="0"/>
                <w:sz w:val="22"/>
              </w:rPr>
              <w:t>基金储备项目丰富，符合博望区发展方向。</w:t>
            </w: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hint="eastAsia"/>
                <w:kern w:val="0"/>
                <w:sz w:val="22"/>
              </w:rPr>
              <w:t>3</w:t>
            </w:r>
          </w:p>
        </w:tc>
        <w:tc>
          <w:tcPr>
            <w:tcW w:w="872" w:type="dxa"/>
            <w:tcBorders>
              <w:top w:val="single" w:sz="4" w:space="0" w:color="auto"/>
              <w:left w:val="nil"/>
              <w:bottom w:val="single" w:sz="4" w:space="0" w:color="auto"/>
              <w:right w:val="single" w:sz="4" w:space="0" w:color="auto"/>
            </w:tcBorders>
            <w:shd w:val="clear" w:color="auto" w:fill="auto"/>
            <w:noWrap/>
            <w:vAlign w:val="center"/>
          </w:tcPr>
          <w:p w:rsidR="00900EB6" w:rsidRDefault="00900EB6">
            <w:pPr>
              <w:widowControl/>
              <w:jc w:val="left"/>
              <w:rPr>
                <w:rFonts w:ascii="Times New Roman" w:hAnsi="Times New Roman" w:cs="Times New Roman"/>
                <w:kern w:val="0"/>
                <w:sz w:val="22"/>
              </w:rPr>
            </w:pPr>
          </w:p>
        </w:tc>
      </w:tr>
      <w:tr w:rsidR="00900EB6" w:rsidTr="00900EB6">
        <w:trPr>
          <w:trHeight w:val="90"/>
        </w:trPr>
        <w:tc>
          <w:tcPr>
            <w:tcW w:w="600" w:type="dxa"/>
            <w:vMerge/>
            <w:tcBorders>
              <w:left w:val="single" w:sz="4" w:space="0" w:color="auto"/>
              <w:bottom w:val="single" w:sz="4" w:space="0" w:color="auto"/>
              <w:right w:val="single" w:sz="4" w:space="0" w:color="auto"/>
            </w:tcBorders>
            <w:shd w:val="clear" w:color="auto" w:fill="auto"/>
            <w:noWrap/>
            <w:vAlign w:val="center"/>
          </w:tcPr>
          <w:p w:rsidR="00900EB6" w:rsidRDefault="00900EB6">
            <w:pPr>
              <w:widowControl/>
              <w:jc w:val="center"/>
              <w:rPr>
                <w:rFonts w:ascii="Times New Roman" w:hAnsi="Times New Roman" w:cs="Times New Roman"/>
                <w:kern w:val="0"/>
                <w:sz w:val="22"/>
              </w:rPr>
            </w:pPr>
          </w:p>
        </w:tc>
        <w:tc>
          <w:tcPr>
            <w:tcW w:w="1220" w:type="dxa"/>
            <w:vMerge/>
            <w:tcBorders>
              <w:left w:val="nil"/>
              <w:bottom w:val="single" w:sz="4" w:space="0" w:color="auto"/>
              <w:right w:val="single" w:sz="4" w:space="0" w:color="auto"/>
            </w:tcBorders>
            <w:shd w:val="clear" w:color="auto" w:fill="auto"/>
            <w:vAlign w:val="center"/>
          </w:tcPr>
          <w:p w:rsidR="00900EB6" w:rsidRDefault="00900EB6">
            <w:pPr>
              <w:widowControl/>
              <w:jc w:val="center"/>
              <w:rPr>
                <w:rFonts w:ascii="Times New Roman" w:hAnsi="Times New Roman" w:cs="Times New Roman"/>
                <w:kern w:val="0"/>
                <w:sz w:val="22"/>
              </w:rPr>
            </w:pPr>
          </w:p>
        </w:tc>
        <w:tc>
          <w:tcPr>
            <w:tcW w:w="640" w:type="dxa"/>
            <w:vMerge/>
            <w:tcBorders>
              <w:left w:val="nil"/>
              <w:bottom w:val="single" w:sz="4" w:space="0" w:color="auto"/>
              <w:right w:val="single" w:sz="4" w:space="0" w:color="auto"/>
            </w:tcBorders>
            <w:shd w:val="clear" w:color="auto" w:fill="auto"/>
            <w:noWrap/>
            <w:vAlign w:val="center"/>
          </w:tcPr>
          <w:p w:rsidR="00900EB6" w:rsidRDefault="00900EB6">
            <w:pPr>
              <w:widowControl/>
              <w:jc w:val="center"/>
              <w:rPr>
                <w:rFonts w:ascii="Times New Roman" w:hAnsi="Times New Roman" w:cs="Times New Roman"/>
                <w:kern w:val="0"/>
                <w:sz w:val="22"/>
              </w:rPr>
            </w:pPr>
          </w:p>
        </w:tc>
        <w:tc>
          <w:tcPr>
            <w:tcW w:w="5138" w:type="dxa"/>
            <w:tcBorders>
              <w:top w:val="single" w:sz="4" w:space="0" w:color="auto"/>
              <w:left w:val="nil"/>
              <w:bottom w:val="single" w:sz="4" w:space="0" w:color="auto"/>
              <w:right w:val="single" w:sz="4" w:space="0" w:color="auto"/>
            </w:tcBorders>
            <w:shd w:val="clear" w:color="auto" w:fill="auto"/>
            <w:vAlign w:val="center"/>
          </w:tcPr>
          <w:p w:rsidR="00900EB6" w:rsidRDefault="00AD0A97">
            <w:pPr>
              <w:widowControl/>
              <w:jc w:val="left"/>
              <w:rPr>
                <w:rFonts w:ascii="Times New Roman" w:hAnsi="Times New Roman" w:cs="Times New Roman"/>
                <w:kern w:val="0"/>
                <w:sz w:val="22"/>
              </w:rPr>
            </w:pPr>
            <w:r>
              <w:rPr>
                <w:rFonts w:ascii="Times New Roman" w:hAnsi="Times New Roman" w:cs="Times New Roman" w:hint="eastAsia"/>
                <w:kern w:val="0"/>
                <w:sz w:val="22"/>
              </w:rPr>
              <w:t>基金进度规划安排科学，</w:t>
            </w:r>
            <w:r>
              <w:rPr>
                <w:rFonts w:ascii="Times New Roman" w:hAnsi="Times New Roman" w:cs="Times New Roman"/>
                <w:kern w:val="0"/>
                <w:sz w:val="22"/>
              </w:rPr>
              <w:t>可操作性强。</w:t>
            </w: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hint="eastAsia"/>
                <w:kern w:val="0"/>
                <w:sz w:val="22"/>
              </w:rPr>
              <w:t>3</w:t>
            </w:r>
          </w:p>
        </w:tc>
        <w:tc>
          <w:tcPr>
            <w:tcW w:w="872" w:type="dxa"/>
            <w:tcBorders>
              <w:top w:val="single" w:sz="4" w:space="0" w:color="auto"/>
              <w:left w:val="nil"/>
              <w:bottom w:val="single" w:sz="4" w:space="0" w:color="auto"/>
              <w:right w:val="single" w:sz="4" w:space="0" w:color="auto"/>
            </w:tcBorders>
            <w:shd w:val="clear" w:color="auto" w:fill="auto"/>
            <w:noWrap/>
            <w:vAlign w:val="center"/>
          </w:tcPr>
          <w:p w:rsidR="00900EB6" w:rsidRDefault="00900EB6">
            <w:pPr>
              <w:widowControl/>
              <w:jc w:val="left"/>
              <w:rPr>
                <w:rFonts w:ascii="Times New Roman" w:hAnsi="Times New Roman" w:cs="Times New Roman"/>
                <w:kern w:val="0"/>
                <w:sz w:val="22"/>
              </w:rPr>
            </w:pPr>
          </w:p>
        </w:tc>
      </w:tr>
      <w:tr w:rsidR="00900EB6" w:rsidTr="00900EB6">
        <w:trPr>
          <w:trHeight w:val="51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EB6" w:rsidRDefault="00AD0A97">
            <w:pPr>
              <w:widowControl/>
              <w:jc w:val="left"/>
              <w:rPr>
                <w:rFonts w:ascii="Times New Roman" w:hAnsi="Times New Roman" w:cs="Times New Roman"/>
                <w:kern w:val="0"/>
                <w:sz w:val="22"/>
              </w:rPr>
            </w:pPr>
            <w:r>
              <w:rPr>
                <w:rFonts w:ascii="Times New Roman" w:hAnsi="Times New Roman" w:cs="Times New Roman"/>
                <w:kern w:val="0"/>
                <w:sz w:val="22"/>
              </w:rPr>
              <w:t xml:space="preserve">　</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900EB6" w:rsidRDefault="00AD0A97">
            <w:pPr>
              <w:widowControl/>
              <w:jc w:val="center"/>
              <w:rPr>
                <w:rFonts w:ascii="Times New Roman" w:hAnsi="Times New Roman" w:cs="Times New Roman"/>
                <w:kern w:val="0"/>
                <w:sz w:val="22"/>
              </w:rPr>
            </w:pPr>
            <w:r>
              <w:rPr>
                <w:rFonts w:ascii="Times New Roman" w:hAnsi="Times New Roman" w:cs="Times New Roman"/>
                <w:kern w:val="0"/>
                <w:sz w:val="22"/>
              </w:rPr>
              <w:t>合计</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900EB6" w:rsidRDefault="00AD0A97">
            <w:pPr>
              <w:widowControl/>
              <w:jc w:val="left"/>
              <w:rPr>
                <w:rFonts w:ascii="Times New Roman" w:hAnsi="Times New Roman" w:cs="Times New Roman"/>
                <w:kern w:val="0"/>
                <w:sz w:val="22"/>
              </w:rPr>
            </w:pPr>
            <w:r>
              <w:rPr>
                <w:rFonts w:ascii="Times New Roman" w:hAnsi="Times New Roman" w:cs="Times New Roman"/>
                <w:kern w:val="0"/>
                <w:sz w:val="22"/>
              </w:rPr>
              <w:t xml:space="preserve">　</w:t>
            </w:r>
          </w:p>
        </w:tc>
        <w:tc>
          <w:tcPr>
            <w:tcW w:w="5138" w:type="dxa"/>
            <w:tcBorders>
              <w:top w:val="single" w:sz="4" w:space="0" w:color="auto"/>
              <w:left w:val="nil"/>
              <w:bottom w:val="single" w:sz="4" w:space="0" w:color="auto"/>
              <w:right w:val="single" w:sz="4" w:space="0" w:color="auto"/>
            </w:tcBorders>
            <w:shd w:val="clear" w:color="auto" w:fill="auto"/>
            <w:vAlign w:val="center"/>
          </w:tcPr>
          <w:p w:rsidR="00900EB6" w:rsidRDefault="00AD0A97">
            <w:pPr>
              <w:widowControl/>
              <w:jc w:val="left"/>
              <w:rPr>
                <w:rFonts w:ascii="Times New Roman" w:hAnsi="Times New Roman" w:cs="Times New Roman"/>
                <w:kern w:val="0"/>
                <w:sz w:val="22"/>
              </w:rPr>
            </w:pPr>
            <w:r>
              <w:rPr>
                <w:rFonts w:ascii="Times New Roman" w:hAnsi="Times New Roman" w:cs="Times New Roman"/>
                <w:kern w:val="0"/>
                <w:sz w:val="22"/>
              </w:rPr>
              <w:t xml:space="preserve">　</w:t>
            </w: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900EB6" w:rsidRDefault="00AD0A97">
            <w:pPr>
              <w:widowControl/>
              <w:jc w:val="left"/>
              <w:rPr>
                <w:rFonts w:ascii="Times New Roman" w:hAnsi="Times New Roman" w:cs="Times New Roman"/>
                <w:kern w:val="0"/>
                <w:sz w:val="22"/>
              </w:rPr>
            </w:pPr>
            <w:r>
              <w:rPr>
                <w:rFonts w:ascii="Times New Roman" w:hAnsi="Times New Roman" w:cs="Times New Roman"/>
                <w:kern w:val="0"/>
                <w:sz w:val="22"/>
              </w:rPr>
              <w:t xml:space="preserve">　</w:t>
            </w:r>
          </w:p>
        </w:tc>
        <w:tc>
          <w:tcPr>
            <w:tcW w:w="872" w:type="dxa"/>
            <w:tcBorders>
              <w:top w:val="single" w:sz="4" w:space="0" w:color="auto"/>
              <w:left w:val="nil"/>
              <w:bottom w:val="single" w:sz="4" w:space="0" w:color="auto"/>
              <w:right w:val="single" w:sz="4" w:space="0" w:color="auto"/>
            </w:tcBorders>
            <w:shd w:val="clear" w:color="auto" w:fill="auto"/>
            <w:noWrap/>
            <w:vAlign w:val="center"/>
          </w:tcPr>
          <w:p w:rsidR="00900EB6" w:rsidRDefault="00AD0A97">
            <w:pPr>
              <w:widowControl/>
              <w:jc w:val="left"/>
              <w:rPr>
                <w:rFonts w:ascii="Times New Roman" w:hAnsi="Times New Roman" w:cs="Times New Roman"/>
                <w:kern w:val="0"/>
                <w:sz w:val="22"/>
              </w:rPr>
            </w:pPr>
            <w:r>
              <w:rPr>
                <w:rFonts w:ascii="Times New Roman" w:hAnsi="Times New Roman" w:cs="Times New Roman"/>
                <w:kern w:val="0"/>
                <w:sz w:val="22"/>
              </w:rPr>
              <w:t xml:space="preserve">　</w:t>
            </w:r>
          </w:p>
        </w:tc>
      </w:tr>
    </w:tbl>
    <w:p w:rsidR="00900EB6" w:rsidRDefault="00900EB6">
      <w:pPr>
        <w:adjustRightInd w:val="0"/>
        <w:spacing w:line="560" w:lineRule="exact"/>
        <w:ind w:firstLineChars="200" w:firstLine="640"/>
        <w:rPr>
          <w:rFonts w:ascii="Times New Roman" w:eastAsia="仿宋_GB2312" w:hAnsi="Times New Roman" w:cs="Times New Roman"/>
          <w:sz w:val="32"/>
          <w:szCs w:val="32"/>
        </w:rPr>
      </w:pPr>
    </w:p>
    <w:p w:rsidR="00900EB6" w:rsidRDefault="00AD0A97" w:rsidP="000C3729">
      <w:pPr>
        <w:adjustRightIn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基金管理公司及其工作人员无违法违规等不良记录，否则总分得</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分。</w:t>
      </w:r>
    </w:p>
    <w:sectPr w:rsidR="00900EB6" w:rsidSect="00900EB6">
      <w:footerReference w:type="default" r:id="rId11"/>
      <w:pgSz w:w="11906" w:h="16838"/>
      <w:pgMar w:top="2098" w:right="1531" w:bottom="1985" w:left="1531" w:header="1588" w:footer="851"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FC1" w:rsidRDefault="009D3FC1" w:rsidP="00900EB6">
      <w:r>
        <w:separator/>
      </w:r>
    </w:p>
  </w:endnote>
  <w:endnote w:type="continuationSeparator" w:id="1">
    <w:p w:rsidR="009D3FC1" w:rsidRDefault="009D3FC1" w:rsidP="00900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B6" w:rsidRDefault="00E87279">
    <w:pPr>
      <w:pStyle w:val="a6"/>
    </w:pPr>
    <w:r>
      <w:rPr>
        <w:noProof/>
      </w:rPr>
      <w:pict>
        <v:shapetype id="_x0000_t202" coordsize="21600,21600" o:spt="202" path="m,l,21600r21600,l21600,xe">
          <v:stroke joinstyle="miter"/>
          <v:path gradientshapeok="t" o:connecttype="rect"/>
        </v:shapetype>
        <v:shape id="文本框 1" o:spid="_x0000_s4098" type="#_x0000_t202" style="position:absolute;margin-left:-111.1pt;margin-top:0;width:23.35pt;height:16.1pt;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" filled="f" stroked="f">
          <v:textbox style="mso-fit-shape-to-text:t" inset="0,0,0,0">
            <w:txbxContent>
              <w:p w:rsidR="00900EB6" w:rsidRDefault="00E87279">
                <w:pPr>
                  <w:pStyle w:val="a6"/>
                  <w:rPr>
                    <w:rFonts w:ascii="Times New Roman" w:hAnsi="Times New Roman" w:cs="Times New Roman"/>
                    <w:sz w:val="28"/>
                    <w:szCs w:val="28"/>
                  </w:rPr>
                </w:pPr>
                <w:r>
                  <w:rPr>
                    <w:rFonts w:ascii="Times New Roman" w:hAnsi="Times New Roman" w:cs="Times New Roman"/>
                    <w:sz w:val="28"/>
                    <w:szCs w:val="28"/>
                  </w:rPr>
                  <w:fldChar w:fldCharType="begin"/>
                </w:r>
                <w:r w:rsidR="00AD0A97">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0C3729">
                  <w:rPr>
                    <w:rFonts w:ascii="Times New Roman" w:hAnsi="Times New Roman" w:cs="Times New Roman"/>
                    <w:noProof/>
                    <w:sz w:val="28"/>
                    <w:szCs w:val="28"/>
                  </w:rPr>
                  <w:t>- 4 -</w:t>
                </w:r>
                <w:r>
                  <w:rPr>
                    <w:rFonts w:ascii="Times New Roman" w:hAnsi="Times New Roman" w:cs="Times New Roman"/>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B6" w:rsidRDefault="00900EB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B6" w:rsidRDefault="00900EB6">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B6" w:rsidRDefault="00E87279">
    <w:pPr>
      <w:pStyle w:val="a6"/>
    </w:pPr>
    <w:r>
      <w:rPr>
        <w:noProof/>
      </w:rPr>
      <w:pict>
        <v:shapetype id="_x0000_t202" coordsize="21600,21600" o:spt="202" path="m,l,21600r21600,l21600,xe">
          <v:stroke joinstyle="miter"/>
          <v:path gradientshapeok="t" o:connecttype="rect"/>
        </v:shapetype>
        <v:shape id="文本框 5" o:spid="_x0000_s4097" type="#_x0000_t202" style="position:absolute;margin-left:-111.1pt;margin-top:0;width:23.35pt;height:16.1pt;z-index:25166028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" filled="f" stroked="f" strokeweight=".5pt">
          <v:textbox style="mso-fit-shape-to-text:t" inset="0,0,0,0">
            <w:txbxContent>
              <w:p w:rsidR="00900EB6" w:rsidRDefault="00E87279">
                <w:pPr>
                  <w:pStyle w:val="a6"/>
                  <w:rPr>
                    <w:rFonts w:ascii="Times New Roman" w:hAnsi="Times New Roman" w:cs="Times New Roman"/>
                    <w:sz w:val="28"/>
                    <w:szCs w:val="28"/>
                  </w:rPr>
                </w:pPr>
                <w:r>
                  <w:rPr>
                    <w:rFonts w:ascii="Times New Roman" w:hAnsi="Times New Roman" w:cs="Times New Roman"/>
                    <w:sz w:val="28"/>
                    <w:szCs w:val="28"/>
                  </w:rPr>
                  <w:fldChar w:fldCharType="begin"/>
                </w:r>
                <w:r w:rsidR="00AD0A97">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0C3729">
                  <w:rPr>
                    <w:rFonts w:ascii="Times New Roman" w:hAnsi="Times New Roman" w:cs="Times New Roman"/>
                    <w:noProof/>
                    <w:sz w:val="28"/>
                    <w:szCs w:val="28"/>
                  </w:rPr>
                  <w:t>- 3 -</w:t>
                </w:r>
                <w:r>
                  <w:rPr>
                    <w:rFonts w:ascii="Times New Roman" w:hAnsi="Times New Roman" w:cs="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FC1" w:rsidRDefault="009D3FC1" w:rsidP="00900EB6">
      <w:r>
        <w:separator/>
      </w:r>
    </w:p>
  </w:footnote>
  <w:footnote w:type="continuationSeparator" w:id="1">
    <w:p w:rsidR="009D3FC1" w:rsidRDefault="009D3FC1" w:rsidP="00900E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8D5E63"/>
    <w:multiLevelType w:val="singleLevel"/>
    <w:tmpl w:val="908D5E63"/>
    <w:lvl w:ilvl="0">
      <w:start w:val="1"/>
      <w:numFmt w:val="chineseCounting"/>
      <w:suff w:val="nothing"/>
      <w:lvlText w:val="%1、"/>
      <w:lvlJc w:val="left"/>
      <w:pPr>
        <w:ind w:left="0" w:firstLine="420"/>
      </w:pPr>
      <w:rPr>
        <w:rFonts w:hint="eastAsia"/>
      </w:rPr>
    </w:lvl>
  </w:abstractNum>
  <w:abstractNum w:abstractNumId="1">
    <w:nsid w:val="A06508F3"/>
    <w:multiLevelType w:val="singleLevel"/>
    <w:tmpl w:val="A06508F3"/>
    <w:lvl w:ilvl="0">
      <w:start w:val="1"/>
      <w:numFmt w:val="decimal"/>
      <w:suff w:val="nothing"/>
      <w:lvlText w:val="%1．"/>
      <w:lvlJc w:val="left"/>
      <w:pPr>
        <w:ind w:left="0" w:firstLine="400"/>
      </w:pPr>
      <w:rPr>
        <w:rFonts w:hint="default"/>
      </w:rPr>
    </w:lvl>
  </w:abstractNum>
  <w:abstractNum w:abstractNumId="2">
    <w:nsid w:val="C4F05B2D"/>
    <w:multiLevelType w:val="singleLevel"/>
    <w:tmpl w:val="C4F05B2D"/>
    <w:lvl w:ilvl="0">
      <w:start w:val="1"/>
      <w:numFmt w:val="decimal"/>
      <w:suff w:val="nothing"/>
      <w:lvlText w:val="%1．"/>
      <w:lvlJc w:val="left"/>
      <w:pPr>
        <w:ind w:left="0" w:firstLine="400"/>
      </w:pPr>
      <w:rPr>
        <w:rFonts w:hint="default"/>
      </w:rPr>
    </w:lvl>
  </w:abstractNum>
  <w:abstractNum w:abstractNumId="3">
    <w:nsid w:val="3DE86C65"/>
    <w:multiLevelType w:val="singleLevel"/>
    <w:tmpl w:val="3DE86C65"/>
    <w:lvl w:ilvl="0">
      <w:start w:val="1"/>
      <w:numFmt w:val="decimal"/>
      <w:suff w:val="nothing"/>
      <w:lvlText w:val="%1．"/>
      <w:lvlJc w:val="left"/>
      <w:pPr>
        <w:ind w:left="0" w:firstLine="400"/>
      </w:pPr>
      <w:rPr>
        <w:rFonts w:hint="default"/>
      </w:rPr>
    </w:lvl>
  </w:abstractNum>
  <w:abstractNum w:abstractNumId="4">
    <w:nsid w:val="49EAC15A"/>
    <w:multiLevelType w:val="singleLevel"/>
    <w:tmpl w:val="49EAC15A"/>
    <w:lvl w:ilvl="0">
      <w:start w:val="1"/>
      <w:numFmt w:val="decimal"/>
      <w:suff w:val="nothing"/>
      <w:lvlText w:val="%1．"/>
      <w:lvlJc w:val="left"/>
      <w:pPr>
        <w:ind w:left="0" w:firstLine="400"/>
      </w:pPr>
      <w:rPr>
        <w:rFonts w:hint="default"/>
      </w:rPr>
    </w:lvl>
  </w:abstractNum>
  <w:abstractNum w:abstractNumId="5">
    <w:nsid w:val="5ED11B50"/>
    <w:multiLevelType w:val="singleLevel"/>
    <w:tmpl w:val="5ED11B50"/>
    <w:lvl w:ilvl="0">
      <w:start w:val="1"/>
      <w:numFmt w:val="decimal"/>
      <w:suff w:val="nothing"/>
      <w:lvlText w:val="%1．"/>
      <w:lvlJc w:val="left"/>
      <w:pPr>
        <w:ind w:left="0" w:firstLine="400"/>
      </w:pPr>
      <w:rPr>
        <w:rFont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0D48"/>
    <w:rsid w:val="00012F91"/>
    <w:rsid w:val="000160FA"/>
    <w:rsid w:val="00020A44"/>
    <w:rsid w:val="00024604"/>
    <w:rsid w:val="0003399D"/>
    <w:rsid w:val="00034564"/>
    <w:rsid w:val="00050B79"/>
    <w:rsid w:val="000529E3"/>
    <w:rsid w:val="00075F4A"/>
    <w:rsid w:val="000A1975"/>
    <w:rsid w:val="000B217C"/>
    <w:rsid w:val="000B69F8"/>
    <w:rsid w:val="000C3729"/>
    <w:rsid w:val="000C392D"/>
    <w:rsid w:val="000D7ED5"/>
    <w:rsid w:val="000E39F8"/>
    <w:rsid w:val="000E7DE7"/>
    <w:rsid w:val="00100B69"/>
    <w:rsid w:val="00105D29"/>
    <w:rsid w:val="001172F1"/>
    <w:rsid w:val="00121175"/>
    <w:rsid w:val="00121292"/>
    <w:rsid w:val="00135A3A"/>
    <w:rsid w:val="0016453D"/>
    <w:rsid w:val="00181DEA"/>
    <w:rsid w:val="001C1D02"/>
    <w:rsid w:val="001D0BD1"/>
    <w:rsid w:val="001E0386"/>
    <w:rsid w:val="002025DF"/>
    <w:rsid w:val="00204E33"/>
    <w:rsid w:val="00236FE9"/>
    <w:rsid w:val="00241E17"/>
    <w:rsid w:val="00255011"/>
    <w:rsid w:val="00264696"/>
    <w:rsid w:val="00264ED0"/>
    <w:rsid w:val="00284B48"/>
    <w:rsid w:val="00284E79"/>
    <w:rsid w:val="0029426E"/>
    <w:rsid w:val="00295193"/>
    <w:rsid w:val="002A325D"/>
    <w:rsid w:val="002B43B8"/>
    <w:rsid w:val="002B6888"/>
    <w:rsid w:val="002C79A4"/>
    <w:rsid w:val="002D1313"/>
    <w:rsid w:val="002F238C"/>
    <w:rsid w:val="002F2A58"/>
    <w:rsid w:val="002F609E"/>
    <w:rsid w:val="00322266"/>
    <w:rsid w:val="00327E07"/>
    <w:rsid w:val="003402DE"/>
    <w:rsid w:val="003440E9"/>
    <w:rsid w:val="0035330A"/>
    <w:rsid w:val="00377E7D"/>
    <w:rsid w:val="00385C35"/>
    <w:rsid w:val="00396BEE"/>
    <w:rsid w:val="003A2AF7"/>
    <w:rsid w:val="003F5C60"/>
    <w:rsid w:val="003F6A71"/>
    <w:rsid w:val="00403EA1"/>
    <w:rsid w:val="00407C70"/>
    <w:rsid w:val="004140E4"/>
    <w:rsid w:val="00425CEC"/>
    <w:rsid w:val="00427F8E"/>
    <w:rsid w:val="00440616"/>
    <w:rsid w:val="00480CC2"/>
    <w:rsid w:val="00486BB0"/>
    <w:rsid w:val="0048739E"/>
    <w:rsid w:val="004903A3"/>
    <w:rsid w:val="0049433B"/>
    <w:rsid w:val="004B180C"/>
    <w:rsid w:val="004B6CED"/>
    <w:rsid w:val="004D5A52"/>
    <w:rsid w:val="004E1C57"/>
    <w:rsid w:val="004F0358"/>
    <w:rsid w:val="00503667"/>
    <w:rsid w:val="00504DEC"/>
    <w:rsid w:val="00517911"/>
    <w:rsid w:val="005312D1"/>
    <w:rsid w:val="0054385D"/>
    <w:rsid w:val="00557C91"/>
    <w:rsid w:val="005A1C6C"/>
    <w:rsid w:val="005D026B"/>
    <w:rsid w:val="005F3D51"/>
    <w:rsid w:val="00610CAC"/>
    <w:rsid w:val="006146D3"/>
    <w:rsid w:val="00616A6D"/>
    <w:rsid w:val="00631ECA"/>
    <w:rsid w:val="006348D1"/>
    <w:rsid w:val="00662BA6"/>
    <w:rsid w:val="00666147"/>
    <w:rsid w:val="006718C5"/>
    <w:rsid w:val="0067248E"/>
    <w:rsid w:val="00692D5A"/>
    <w:rsid w:val="006963DC"/>
    <w:rsid w:val="006A4CC6"/>
    <w:rsid w:val="006B5A8E"/>
    <w:rsid w:val="006E4C22"/>
    <w:rsid w:val="006F53B0"/>
    <w:rsid w:val="007122D6"/>
    <w:rsid w:val="00723679"/>
    <w:rsid w:val="0072729F"/>
    <w:rsid w:val="0074154A"/>
    <w:rsid w:val="007501A5"/>
    <w:rsid w:val="00766C99"/>
    <w:rsid w:val="0078203E"/>
    <w:rsid w:val="0078460C"/>
    <w:rsid w:val="00795E9B"/>
    <w:rsid w:val="007A2DB8"/>
    <w:rsid w:val="007A532B"/>
    <w:rsid w:val="007B56E7"/>
    <w:rsid w:val="008224D6"/>
    <w:rsid w:val="00835CEF"/>
    <w:rsid w:val="00837133"/>
    <w:rsid w:val="00843762"/>
    <w:rsid w:val="00873048"/>
    <w:rsid w:val="00874DDC"/>
    <w:rsid w:val="008A04CE"/>
    <w:rsid w:val="008B33EA"/>
    <w:rsid w:val="008B7F7A"/>
    <w:rsid w:val="008D03B1"/>
    <w:rsid w:val="008D08DF"/>
    <w:rsid w:val="008D77FC"/>
    <w:rsid w:val="008E1F78"/>
    <w:rsid w:val="008E6D63"/>
    <w:rsid w:val="008F19D9"/>
    <w:rsid w:val="00900D35"/>
    <w:rsid w:val="00900EB6"/>
    <w:rsid w:val="00911AA7"/>
    <w:rsid w:val="00912199"/>
    <w:rsid w:val="0092242B"/>
    <w:rsid w:val="0092455A"/>
    <w:rsid w:val="0092683F"/>
    <w:rsid w:val="00926D2B"/>
    <w:rsid w:val="00956E8D"/>
    <w:rsid w:val="00966BF3"/>
    <w:rsid w:val="00976962"/>
    <w:rsid w:val="00977F0E"/>
    <w:rsid w:val="00990001"/>
    <w:rsid w:val="009A365E"/>
    <w:rsid w:val="009A3A56"/>
    <w:rsid w:val="009B7801"/>
    <w:rsid w:val="009C20A7"/>
    <w:rsid w:val="009C3EC3"/>
    <w:rsid w:val="009C6490"/>
    <w:rsid w:val="009D3FC1"/>
    <w:rsid w:val="009D43DE"/>
    <w:rsid w:val="009E7152"/>
    <w:rsid w:val="009F0D0B"/>
    <w:rsid w:val="009F415F"/>
    <w:rsid w:val="009F574C"/>
    <w:rsid w:val="00A04F5D"/>
    <w:rsid w:val="00A056E6"/>
    <w:rsid w:val="00A32ECC"/>
    <w:rsid w:val="00A404B9"/>
    <w:rsid w:val="00A439E5"/>
    <w:rsid w:val="00A57662"/>
    <w:rsid w:val="00A67A7D"/>
    <w:rsid w:val="00A73C66"/>
    <w:rsid w:val="00AB2742"/>
    <w:rsid w:val="00AC3C98"/>
    <w:rsid w:val="00AC463F"/>
    <w:rsid w:val="00AD0A97"/>
    <w:rsid w:val="00AE658C"/>
    <w:rsid w:val="00AF3C1B"/>
    <w:rsid w:val="00B13023"/>
    <w:rsid w:val="00B1609D"/>
    <w:rsid w:val="00B2458E"/>
    <w:rsid w:val="00B34BD0"/>
    <w:rsid w:val="00B37D74"/>
    <w:rsid w:val="00B51DDD"/>
    <w:rsid w:val="00B63DE3"/>
    <w:rsid w:val="00B74589"/>
    <w:rsid w:val="00B87FBF"/>
    <w:rsid w:val="00B96848"/>
    <w:rsid w:val="00BA5197"/>
    <w:rsid w:val="00BB15D3"/>
    <w:rsid w:val="00BC4C70"/>
    <w:rsid w:val="00BC5FB4"/>
    <w:rsid w:val="00BC7E88"/>
    <w:rsid w:val="00BD4A86"/>
    <w:rsid w:val="00BF0E0B"/>
    <w:rsid w:val="00BF4A7B"/>
    <w:rsid w:val="00C024AF"/>
    <w:rsid w:val="00C27FD8"/>
    <w:rsid w:val="00C3427A"/>
    <w:rsid w:val="00C4080C"/>
    <w:rsid w:val="00C54498"/>
    <w:rsid w:val="00C736B7"/>
    <w:rsid w:val="00C74250"/>
    <w:rsid w:val="00C812D8"/>
    <w:rsid w:val="00C84E3B"/>
    <w:rsid w:val="00C86183"/>
    <w:rsid w:val="00CC09A2"/>
    <w:rsid w:val="00CC1C8C"/>
    <w:rsid w:val="00CC2604"/>
    <w:rsid w:val="00CF79D2"/>
    <w:rsid w:val="00D06C7B"/>
    <w:rsid w:val="00D11092"/>
    <w:rsid w:val="00D117F1"/>
    <w:rsid w:val="00D16C41"/>
    <w:rsid w:val="00D32C1E"/>
    <w:rsid w:val="00D5686E"/>
    <w:rsid w:val="00D66D59"/>
    <w:rsid w:val="00D831F4"/>
    <w:rsid w:val="00D90A39"/>
    <w:rsid w:val="00D93D1A"/>
    <w:rsid w:val="00D95646"/>
    <w:rsid w:val="00DB6BCC"/>
    <w:rsid w:val="00DD50DA"/>
    <w:rsid w:val="00E03E8D"/>
    <w:rsid w:val="00E11D54"/>
    <w:rsid w:val="00E16579"/>
    <w:rsid w:val="00E34169"/>
    <w:rsid w:val="00E3564D"/>
    <w:rsid w:val="00E5029A"/>
    <w:rsid w:val="00E57621"/>
    <w:rsid w:val="00E74053"/>
    <w:rsid w:val="00E75E41"/>
    <w:rsid w:val="00E87279"/>
    <w:rsid w:val="00E928B5"/>
    <w:rsid w:val="00E92918"/>
    <w:rsid w:val="00E94281"/>
    <w:rsid w:val="00EB1E10"/>
    <w:rsid w:val="00EB7A93"/>
    <w:rsid w:val="00ED2261"/>
    <w:rsid w:val="00ED57A2"/>
    <w:rsid w:val="00ED758E"/>
    <w:rsid w:val="00EE0EB8"/>
    <w:rsid w:val="00EF4440"/>
    <w:rsid w:val="00EF7642"/>
    <w:rsid w:val="00F00D48"/>
    <w:rsid w:val="00F01151"/>
    <w:rsid w:val="00F04676"/>
    <w:rsid w:val="00F139C0"/>
    <w:rsid w:val="00F33B45"/>
    <w:rsid w:val="00F4237C"/>
    <w:rsid w:val="00F425E8"/>
    <w:rsid w:val="00F71568"/>
    <w:rsid w:val="00F73ADF"/>
    <w:rsid w:val="00F77ACE"/>
    <w:rsid w:val="00F80ECC"/>
    <w:rsid w:val="00F8309A"/>
    <w:rsid w:val="00F914FB"/>
    <w:rsid w:val="00FA3218"/>
    <w:rsid w:val="00FC425C"/>
    <w:rsid w:val="00FF45E5"/>
    <w:rsid w:val="0B3D4DDB"/>
    <w:rsid w:val="0E096342"/>
    <w:rsid w:val="0F8F7118"/>
    <w:rsid w:val="13394C50"/>
    <w:rsid w:val="19243EBA"/>
    <w:rsid w:val="1B907508"/>
    <w:rsid w:val="1BC45E0B"/>
    <w:rsid w:val="1E26678A"/>
    <w:rsid w:val="1F110E63"/>
    <w:rsid w:val="29CC2BC9"/>
    <w:rsid w:val="39F41227"/>
    <w:rsid w:val="3A854716"/>
    <w:rsid w:val="4B0C204B"/>
    <w:rsid w:val="4BCB4848"/>
    <w:rsid w:val="4CC2353F"/>
    <w:rsid w:val="55147241"/>
    <w:rsid w:val="5680334F"/>
    <w:rsid w:val="606B719D"/>
    <w:rsid w:val="60904BF1"/>
    <w:rsid w:val="638F0BBB"/>
    <w:rsid w:val="6A4E63B7"/>
    <w:rsid w:val="731E0EB1"/>
    <w:rsid w:val="76B16D99"/>
    <w:rsid w:val="7CC769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00EB6"/>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rsid w:val="00900EB6"/>
    <w:pPr>
      <w:spacing w:line="240" w:lineRule="atLeast"/>
      <w:jc w:val="center"/>
      <w:outlineLvl w:val="0"/>
    </w:pPr>
    <w:rPr>
      <w:rFonts w:eastAsia="方正小标宋简体" w:cstheme="majorBidi"/>
      <w:bCs/>
      <w:sz w:val="44"/>
      <w:szCs w:val="32"/>
    </w:rPr>
  </w:style>
  <w:style w:type="paragraph" w:styleId="a4">
    <w:name w:val="annotation text"/>
    <w:basedOn w:val="a"/>
    <w:link w:val="Char"/>
    <w:uiPriority w:val="99"/>
    <w:semiHidden/>
    <w:unhideWhenUsed/>
    <w:qFormat/>
    <w:rsid w:val="00900EB6"/>
    <w:pPr>
      <w:jc w:val="left"/>
    </w:pPr>
  </w:style>
  <w:style w:type="paragraph" w:styleId="a5">
    <w:name w:val="Balloon Text"/>
    <w:basedOn w:val="a"/>
    <w:link w:val="Char0"/>
    <w:uiPriority w:val="99"/>
    <w:semiHidden/>
    <w:unhideWhenUsed/>
    <w:qFormat/>
    <w:rsid w:val="00900EB6"/>
    <w:rPr>
      <w:sz w:val="18"/>
      <w:szCs w:val="18"/>
    </w:rPr>
  </w:style>
  <w:style w:type="paragraph" w:styleId="a6">
    <w:name w:val="footer"/>
    <w:basedOn w:val="a"/>
    <w:link w:val="Char1"/>
    <w:uiPriority w:val="99"/>
    <w:unhideWhenUsed/>
    <w:qFormat/>
    <w:rsid w:val="00900EB6"/>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900EB6"/>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900EB6"/>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4"/>
    <w:next w:val="a4"/>
    <w:link w:val="Char3"/>
    <w:uiPriority w:val="99"/>
    <w:semiHidden/>
    <w:unhideWhenUsed/>
    <w:qFormat/>
    <w:rsid w:val="00900EB6"/>
    <w:rPr>
      <w:b/>
      <w:bCs/>
    </w:rPr>
  </w:style>
  <w:style w:type="character" w:styleId="aa">
    <w:name w:val="annotation reference"/>
    <w:basedOn w:val="a1"/>
    <w:uiPriority w:val="99"/>
    <w:semiHidden/>
    <w:unhideWhenUsed/>
    <w:qFormat/>
    <w:rsid w:val="00900EB6"/>
    <w:rPr>
      <w:sz w:val="21"/>
      <w:szCs w:val="21"/>
    </w:rPr>
  </w:style>
  <w:style w:type="paragraph" w:styleId="ab">
    <w:name w:val="List Paragraph"/>
    <w:basedOn w:val="a"/>
    <w:uiPriority w:val="34"/>
    <w:qFormat/>
    <w:rsid w:val="00900EB6"/>
    <w:pPr>
      <w:ind w:firstLineChars="200" w:firstLine="420"/>
    </w:pPr>
  </w:style>
  <w:style w:type="character" w:customStyle="1" w:styleId="Char2">
    <w:name w:val="页眉 Char"/>
    <w:basedOn w:val="a1"/>
    <w:link w:val="a7"/>
    <w:uiPriority w:val="99"/>
    <w:qFormat/>
    <w:rsid w:val="00900EB6"/>
    <w:rPr>
      <w:sz w:val="18"/>
      <w:szCs w:val="18"/>
    </w:rPr>
  </w:style>
  <w:style w:type="character" w:customStyle="1" w:styleId="Char1">
    <w:name w:val="页脚 Char"/>
    <w:basedOn w:val="a1"/>
    <w:link w:val="a6"/>
    <w:uiPriority w:val="99"/>
    <w:qFormat/>
    <w:rsid w:val="00900EB6"/>
    <w:rPr>
      <w:sz w:val="18"/>
      <w:szCs w:val="18"/>
    </w:rPr>
  </w:style>
  <w:style w:type="character" w:customStyle="1" w:styleId="Char0">
    <w:name w:val="批注框文本 Char"/>
    <w:basedOn w:val="a1"/>
    <w:link w:val="a5"/>
    <w:uiPriority w:val="99"/>
    <w:semiHidden/>
    <w:qFormat/>
    <w:rsid w:val="00900EB6"/>
    <w:rPr>
      <w:sz w:val="18"/>
      <w:szCs w:val="18"/>
    </w:rPr>
  </w:style>
  <w:style w:type="character" w:customStyle="1" w:styleId="Char">
    <w:name w:val="批注文字 Char"/>
    <w:basedOn w:val="a1"/>
    <w:link w:val="a4"/>
    <w:uiPriority w:val="99"/>
    <w:semiHidden/>
    <w:qFormat/>
    <w:rsid w:val="00900EB6"/>
  </w:style>
  <w:style w:type="character" w:customStyle="1" w:styleId="Char3">
    <w:name w:val="批注主题 Char"/>
    <w:basedOn w:val="Char"/>
    <w:link w:val="a9"/>
    <w:uiPriority w:val="99"/>
    <w:semiHidden/>
    <w:qFormat/>
    <w:rsid w:val="00900EB6"/>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823</Words>
  <Characters>4695</Characters>
  <Application>Microsoft Office Word</Application>
  <DocSecurity>0</DocSecurity>
  <Lines>39</Lines>
  <Paragraphs>11</Paragraphs>
  <ScaleCrop>false</ScaleCrop>
  <Company>微软中国</Company>
  <LinksUpToDate>false</LinksUpToDate>
  <CharactersWithSpaces>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济榜</dc:creator>
  <cp:lastModifiedBy>微软用户</cp:lastModifiedBy>
  <cp:revision>10</cp:revision>
  <cp:lastPrinted>2022-02-16T02:36:00Z</cp:lastPrinted>
  <dcterms:created xsi:type="dcterms:W3CDTF">2022-02-14T03:31:00Z</dcterms:created>
  <dcterms:modified xsi:type="dcterms:W3CDTF">2022-02-16T02:36:00Z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FBBAF1166F54465FB73DDC8F6117CCB9</vt:lpwstr>
  </property>
</Properties>
</file>